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73C3" w:rsidRDefault="00797CC3" w:rsidP="00797CC3">
      <w:pPr>
        <w:jc w:val="right"/>
        <w:rPr>
          <w:noProof/>
          <w:lang w:eastAsia="es-AR"/>
        </w:rPr>
      </w:pPr>
      <w:r>
        <w:rPr>
          <w:noProof/>
          <w:lang w:bidi="ar-SA"/>
        </w:rPr>
        <w:drawing>
          <wp:inline distT="0" distB="0" distL="0" distR="0">
            <wp:extent cx="2095500" cy="61912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2095500" cy="619125"/>
                    </a:xfrm>
                    <a:prstGeom prst="rect">
                      <a:avLst/>
                    </a:prstGeom>
                    <a:noFill/>
                    <a:ln w="9525">
                      <a:noFill/>
                      <a:miter lim="800000"/>
                      <a:headEnd/>
                      <a:tailEnd/>
                    </a:ln>
                  </pic:spPr>
                </pic:pic>
              </a:graphicData>
            </a:graphic>
          </wp:inline>
        </w:drawing>
      </w:r>
    </w:p>
    <w:p w:rsidR="00797CC3" w:rsidRPr="00717A8E" w:rsidRDefault="00797CC3" w:rsidP="002573C3">
      <w:pPr>
        <w:rPr>
          <w:noProof/>
          <w:vanish/>
          <w:lang w:eastAsia="es-AR"/>
          <w:specVanish/>
        </w:rPr>
      </w:pPr>
    </w:p>
    <w:p w:rsidR="002573C3" w:rsidRPr="00D54414" w:rsidRDefault="004F14D2" w:rsidP="002573C3">
      <w:pPr>
        <w:pStyle w:val="HOLTitle1"/>
        <w:rPr>
          <w:noProof/>
        </w:rPr>
      </w:pPr>
      <w:r>
        <w:rPr>
          <w:noProof/>
        </w:rPr>
        <w:t>Readme</w:t>
      </w:r>
    </w:p>
    <w:p w:rsidR="002573C3" w:rsidRPr="00D54414" w:rsidRDefault="00395D78" w:rsidP="002573C3">
      <w:pPr>
        <w:pStyle w:val="HOLDescription"/>
        <w:rPr>
          <w:rFonts w:ascii="Arial Narrow" w:hAnsi="Arial Narrow"/>
          <w:noProof/>
          <w:sz w:val="56"/>
          <w:szCs w:val="56"/>
          <w:lang w:val="en-US"/>
        </w:rPr>
      </w:pPr>
      <w:r>
        <w:rPr>
          <w:rFonts w:ascii="Arial Narrow" w:hAnsi="Arial Narrow"/>
          <w:noProof/>
          <w:sz w:val="56"/>
          <w:szCs w:val="56"/>
          <w:lang w:val="en-US"/>
        </w:rPr>
        <w:t>Azure Services Management Tools</w:t>
      </w:r>
    </w:p>
    <w:p w:rsidR="002573C3" w:rsidRPr="00D54414" w:rsidRDefault="002573C3" w:rsidP="002573C3">
      <w:pPr>
        <w:spacing w:after="0" w:line="240" w:lineRule="auto"/>
        <w:rPr>
          <w:rFonts w:ascii="Arial" w:eastAsia="Batang" w:hAnsi="Arial" w:cs="Times New Roman"/>
          <w:noProof/>
          <w:sz w:val="20"/>
          <w:szCs w:val="24"/>
          <w:lang w:eastAsia="ko-KR"/>
        </w:rPr>
      </w:pPr>
    </w:p>
    <w:p w:rsidR="002573C3" w:rsidRPr="00D54414" w:rsidRDefault="002573C3" w:rsidP="002573C3">
      <w:pPr>
        <w:spacing w:after="0" w:line="240" w:lineRule="auto"/>
        <w:rPr>
          <w:rFonts w:ascii="Arial" w:eastAsia="Batang" w:hAnsi="Arial" w:cs="Times New Roman"/>
          <w:noProof/>
          <w:sz w:val="20"/>
          <w:szCs w:val="24"/>
          <w:lang w:eastAsia="ko-KR"/>
        </w:rPr>
      </w:pPr>
    </w:p>
    <w:tbl>
      <w:tblPr>
        <w:tblW w:w="0" w:type="auto"/>
        <w:tblLook w:val="00A0"/>
      </w:tblPr>
      <w:tblGrid>
        <w:gridCol w:w="6597"/>
        <w:gridCol w:w="2979"/>
      </w:tblGrid>
      <w:tr w:rsidR="002573C3" w:rsidRPr="00D54414" w:rsidTr="00F169D1">
        <w:tc>
          <w:tcPr>
            <w:tcW w:w="6597" w:type="dxa"/>
          </w:tcPr>
          <w:tbl>
            <w:tblPr>
              <w:tblW w:w="6381" w:type="dxa"/>
              <w:tblLook w:val="00A0"/>
            </w:tblPr>
            <w:tblGrid>
              <w:gridCol w:w="2250"/>
              <w:gridCol w:w="4131"/>
            </w:tblGrid>
            <w:tr w:rsidR="002573C3" w:rsidRPr="00D54414" w:rsidTr="003320D2">
              <w:tc>
                <w:tcPr>
                  <w:tcW w:w="2250" w:type="dxa"/>
                  <w:tcBorders>
                    <w:top w:val="nil"/>
                    <w:left w:val="nil"/>
                    <w:bottom w:val="nil"/>
                    <w:right w:val="nil"/>
                  </w:tcBorders>
                </w:tcPr>
                <w:p w:rsidR="002573C3" w:rsidRPr="00D54414" w:rsidRDefault="002573C3" w:rsidP="00326915">
                  <w:pPr>
                    <w:pStyle w:val="ppBodyText"/>
                    <w:rPr>
                      <w:noProof/>
                    </w:rPr>
                  </w:pPr>
                  <w:r w:rsidRPr="00D54414">
                    <w:rPr>
                      <w:noProof/>
                    </w:rPr>
                    <w:t>Lab version:</w:t>
                  </w:r>
                </w:p>
              </w:tc>
              <w:tc>
                <w:tcPr>
                  <w:tcW w:w="4131" w:type="dxa"/>
                  <w:tcBorders>
                    <w:top w:val="nil"/>
                    <w:left w:val="nil"/>
                    <w:bottom w:val="nil"/>
                    <w:right w:val="nil"/>
                  </w:tcBorders>
                </w:tcPr>
                <w:p w:rsidR="002573C3" w:rsidRPr="00D54414" w:rsidRDefault="002573C3" w:rsidP="00326915">
                  <w:pPr>
                    <w:pStyle w:val="ppBodyText"/>
                    <w:rPr>
                      <w:noProof/>
                    </w:rPr>
                  </w:pPr>
                  <w:r w:rsidRPr="00D54414">
                    <w:rPr>
                      <w:noProof/>
                    </w:rPr>
                    <w:t xml:space="preserve">1.0.0 </w:t>
                  </w:r>
                </w:p>
              </w:tc>
            </w:tr>
            <w:tr w:rsidR="002573C3" w:rsidRPr="00D54414" w:rsidTr="003320D2">
              <w:tc>
                <w:tcPr>
                  <w:tcW w:w="2250" w:type="dxa"/>
                  <w:tcBorders>
                    <w:top w:val="nil"/>
                    <w:left w:val="nil"/>
                    <w:bottom w:val="nil"/>
                    <w:right w:val="nil"/>
                  </w:tcBorders>
                </w:tcPr>
                <w:p w:rsidR="002573C3" w:rsidRPr="00D54414" w:rsidRDefault="002573C3" w:rsidP="00326915">
                  <w:pPr>
                    <w:pStyle w:val="ppBodyText"/>
                    <w:rPr>
                      <w:noProof/>
                    </w:rPr>
                  </w:pPr>
                  <w:r w:rsidRPr="00D54414">
                    <w:rPr>
                      <w:noProof/>
                    </w:rPr>
                    <w:t>Last updated:</w:t>
                  </w:r>
                </w:p>
              </w:tc>
              <w:tc>
                <w:tcPr>
                  <w:tcW w:w="4131" w:type="dxa"/>
                  <w:tcBorders>
                    <w:top w:val="nil"/>
                    <w:left w:val="nil"/>
                    <w:bottom w:val="nil"/>
                    <w:right w:val="nil"/>
                  </w:tcBorders>
                </w:tcPr>
                <w:p w:rsidR="002573C3" w:rsidRPr="00D54414" w:rsidRDefault="007575EB" w:rsidP="00326915">
                  <w:pPr>
                    <w:pStyle w:val="ppBodyText"/>
                    <w:rPr>
                      <w:noProof/>
                    </w:rPr>
                  </w:pPr>
                  <w:r w:rsidRPr="00D54414">
                    <w:rPr>
                      <w:noProof/>
                    </w:rPr>
                    <w:fldChar w:fldCharType="begin"/>
                  </w:r>
                  <w:r w:rsidR="002573C3" w:rsidRPr="00D54414">
                    <w:rPr>
                      <w:noProof/>
                    </w:rPr>
                    <w:instrText xml:space="preserve"> DATE \@ "M/d/yyyy" </w:instrText>
                  </w:r>
                  <w:r w:rsidRPr="00D54414">
                    <w:rPr>
                      <w:noProof/>
                    </w:rPr>
                    <w:fldChar w:fldCharType="separate"/>
                  </w:r>
                  <w:r w:rsidR="0079495C">
                    <w:rPr>
                      <w:noProof/>
                    </w:rPr>
                    <w:t>10/26/2008</w:t>
                  </w:r>
                  <w:r w:rsidRPr="00D54414">
                    <w:rPr>
                      <w:noProof/>
                    </w:rPr>
                    <w:fldChar w:fldCharType="end"/>
                  </w:r>
                </w:p>
              </w:tc>
            </w:tr>
          </w:tbl>
          <w:p w:rsidR="002573C3" w:rsidRPr="00D54414" w:rsidRDefault="002573C3" w:rsidP="00326915">
            <w:pPr>
              <w:pStyle w:val="ppBodyText"/>
              <w:rPr>
                <w:noProof/>
              </w:rPr>
            </w:pPr>
          </w:p>
        </w:tc>
        <w:tc>
          <w:tcPr>
            <w:tcW w:w="2979" w:type="dxa"/>
          </w:tcPr>
          <w:p w:rsidR="002573C3" w:rsidRPr="00D54414" w:rsidRDefault="002573C3" w:rsidP="003320D2">
            <w:pPr>
              <w:rPr>
                <w:noProof/>
              </w:rPr>
            </w:pPr>
          </w:p>
        </w:tc>
      </w:tr>
    </w:tbl>
    <w:p w:rsidR="00F169D1" w:rsidRDefault="00F169D1" w:rsidP="00F169D1">
      <w:pPr>
        <w:pStyle w:val="ppBodyText"/>
        <w:rPr>
          <w:rFonts w:eastAsia="Arial Unicode MS"/>
          <w:noProof/>
        </w:rPr>
      </w:pPr>
    </w:p>
    <w:p w:rsidR="0079495C" w:rsidRDefault="00F169D1" w:rsidP="00F169D1">
      <w:pPr>
        <w:pStyle w:val="TOC1"/>
        <w:numPr>
          <w:ilvl w:val="0"/>
          <w:numId w:val="18"/>
        </w:numPr>
        <w:tabs>
          <w:tab w:val="clear" w:pos="9344"/>
          <w:tab w:val="right" w:leader="dot" w:pos="9350"/>
        </w:tabs>
      </w:pPr>
      <w:r w:rsidRPr="00D54414">
        <w:t>Contents</w:t>
      </w:r>
      <w:r w:rsidR="007575EB" w:rsidRPr="007575EB">
        <w:rPr>
          <w:rFonts w:eastAsiaTheme="majorEastAsia"/>
          <w:noProof w:val="0"/>
          <w:color w:val="365F91" w:themeColor="accent1" w:themeShade="BF"/>
          <w:szCs w:val="28"/>
          <w:lang w:eastAsia="en-US"/>
        </w:rPr>
        <w:fldChar w:fldCharType="begin"/>
      </w:r>
      <w:r w:rsidRPr="00D54414">
        <w:instrText xml:space="preserve"> TOC \h \z \t "Heading 3,2,pp Topic,1,PP Procedure start,3" </w:instrText>
      </w:r>
      <w:r w:rsidR="007575EB" w:rsidRPr="007575EB">
        <w:rPr>
          <w:rFonts w:eastAsiaTheme="majorEastAsia"/>
          <w:noProof w:val="0"/>
          <w:color w:val="365F91" w:themeColor="accent1" w:themeShade="BF"/>
          <w:szCs w:val="28"/>
          <w:lang w:eastAsia="en-US"/>
        </w:rPr>
        <w:fldChar w:fldCharType="separate"/>
      </w:r>
    </w:p>
    <w:p w:rsidR="0079495C" w:rsidRDefault="0079495C">
      <w:pPr>
        <w:pStyle w:val="TOC1"/>
        <w:rPr>
          <w:rFonts w:asciiTheme="minorHAnsi" w:eastAsiaTheme="minorEastAsia" w:hAnsiTheme="minorHAnsi" w:cstheme="minorBidi"/>
          <w:b w:val="0"/>
          <w:bCs w:val="0"/>
          <w:caps w:val="0"/>
          <w:sz w:val="22"/>
          <w:szCs w:val="22"/>
          <w:lang w:eastAsia="en-US" w:bidi="ar-SA"/>
        </w:rPr>
      </w:pPr>
      <w:hyperlink w:anchor="_Toc212789446" w:history="1">
        <w:r w:rsidRPr="0013733C">
          <w:rPr>
            <w:rStyle w:val="Hyperlink"/>
            <w:rFonts w:eastAsia="Arial Unicode MS"/>
          </w:rPr>
          <w:t>Overview</w:t>
        </w:r>
        <w:r>
          <w:rPr>
            <w:webHidden/>
          </w:rPr>
          <w:tab/>
        </w:r>
        <w:r>
          <w:rPr>
            <w:webHidden/>
          </w:rPr>
          <w:fldChar w:fldCharType="begin"/>
        </w:r>
        <w:r>
          <w:rPr>
            <w:webHidden/>
          </w:rPr>
          <w:instrText xml:space="preserve"> PAGEREF _Toc212789446 \h </w:instrText>
        </w:r>
        <w:r>
          <w:rPr>
            <w:webHidden/>
          </w:rPr>
        </w:r>
        <w:r>
          <w:rPr>
            <w:webHidden/>
          </w:rPr>
          <w:fldChar w:fldCharType="separate"/>
        </w:r>
        <w:r>
          <w:rPr>
            <w:webHidden/>
          </w:rPr>
          <w:t>2</w:t>
        </w:r>
        <w:r>
          <w:rPr>
            <w:webHidden/>
          </w:rPr>
          <w:fldChar w:fldCharType="end"/>
        </w:r>
      </w:hyperlink>
    </w:p>
    <w:p w:rsidR="0079495C" w:rsidRDefault="0079495C">
      <w:pPr>
        <w:pStyle w:val="TOC1"/>
        <w:rPr>
          <w:rFonts w:asciiTheme="minorHAnsi" w:eastAsiaTheme="minorEastAsia" w:hAnsiTheme="minorHAnsi" w:cstheme="minorBidi"/>
          <w:b w:val="0"/>
          <w:bCs w:val="0"/>
          <w:caps w:val="0"/>
          <w:sz w:val="22"/>
          <w:szCs w:val="22"/>
          <w:lang w:eastAsia="en-US" w:bidi="ar-SA"/>
        </w:rPr>
      </w:pPr>
      <w:hyperlink w:anchor="_Toc212789447" w:history="1">
        <w:r w:rsidRPr="0013733C">
          <w:rPr>
            <w:rStyle w:val="Hyperlink"/>
          </w:rPr>
          <w:t>Getting Started with the Azure Services Management Tools</w:t>
        </w:r>
        <w:r>
          <w:rPr>
            <w:webHidden/>
          </w:rPr>
          <w:tab/>
        </w:r>
        <w:r>
          <w:rPr>
            <w:webHidden/>
          </w:rPr>
          <w:fldChar w:fldCharType="begin"/>
        </w:r>
        <w:r>
          <w:rPr>
            <w:webHidden/>
          </w:rPr>
          <w:instrText xml:space="preserve"> PAGEREF _Toc212789447 \h </w:instrText>
        </w:r>
        <w:r>
          <w:rPr>
            <w:webHidden/>
          </w:rPr>
        </w:r>
        <w:r>
          <w:rPr>
            <w:webHidden/>
          </w:rPr>
          <w:fldChar w:fldCharType="separate"/>
        </w:r>
        <w:r>
          <w:rPr>
            <w:webHidden/>
          </w:rPr>
          <w:t>3</w:t>
        </w:r>
        <w:r>
          <w:rPr>
            <w:webHidden/>
          </w:rPr>
          <w:fldChar w:fldCharType="end"/>
        </w:r>
      </w:hyperlink>
    </w:p>
    <w:p w:rsidR="0079495C" w:rsidRDefault="0079495C">
      <w:pPr>
        <w:pStyle w:val="TOC3"/>
        <w:tabs>
          <w:tab w:val="right" w:leader="dot" w:pos="9350"/>
        </w:tabs>
        <w:rPr>
          <w:noProof/>
          <w:lang w:bidi="ar-SA"/>
        </w:rPr>
      </w:pPr>
      <w:hyperlink w:anchor="_Toc212789448" w:history="1">
        <w:r w:rsidRPr="0013733C">
          <w:rPr>
            <w:rStyle w:val="Hyperlink"/>
            <w:noProof/>
          </w:rPr>
          <w:t>Task 1 – Build and Install the Azure Services Management Tools</w:t>
        </w:r>
        <w:r>
          <w:rPr>
            <w:noProof/>
            <w:webHidden/>
          </w:rPr>
          <w:tab/>
        </w:r>
        <w:r>
          <w:rPr>
            <w:noProof/>
            <w:webHidden/>
          </w:rPr>
          <w:fldChar w:fldCharType="begin"/>
        </w:r>
        <w:r>
          <w:rPr>
            <w:noProof/>
            <w:webHidden/>
          </w:rPr>
          <w:instrText xml:space="preserve"> PAGEREF _Toc212789448 \h </w:instrText>
        </w:r>
        <w:r>
          <w:rPr>
            <w:noProof/>
            <w:webHidden/>
          </w:rPr>
        </w:r>
        <w:r>
          <w:rPr>
            <w:noProof/>
            <w:webHidden/>
          </w:rPr>
          <w:fldChar w:fldCharType="separate"/>
        </w:r>
        <w:r>
          <w:rPr>
            <w:noProof/>
            <w:webHidden/>
          </w:rPr>
          <w:t>3</w:t>
        </w:r>
        <w:r>
          <w:rPr>
            <w:noProof/>
            <w:webHidden/>
          </w:rPr>
          <w:fldChar w:fldCharType="end"/>
        </w:r>
      </w:hyperlink>
    </w:p>
    <w:p w:rsidR="0079495C" w:rsidRDefault="0079495C">
      <w:pPr>
        <w:pStyle w:val="TOC1"/>
        <w:rPr>
          <w:rFonts w:asciiTheme="minorHAnsi" w:eastAsiaTheme="minorEastAsia" w:hAnsiTheme="minorHAnsi" w:cstheme="minorBidi"/>
          <w:b w:val="0"/>
          <w:bCs w:val="0"/>
          <w:caps w:val="0"/>
          <w:sz w:val="22"/>
          <w:szCs w:val="22"/>
          <w:lang w:eastAsia="en-US" w:bidi="ar-SA"/>
        </w:rPr>
      </w:pPr>
      <w:hyperlink w:anchor="_Toc212789449" w:history="1">
        <w:r w:rsidRPr="0013733C">
          <w:rPr>
            <w:rStyle w:val="Hyperlink"/>
          </w:rPr>
          <w:t>Using the MMC Snap-In</w:t>
        </w:r>
        <w:r>
          <w:rPr>
            <w:webHidden/>
          </w:rPr>
          <w:tab/>
        </w:r>
        <w:r>
          <w:rPr>
            <w:webHidden/>
          </w:rPr>
          <w:fldChar w:fldCharType="begin"/>
        </w:r>
        <w:r>
          <w:rPr>
            <w:webHidden/>
          </w:rPr>
          <w:instrText xml:space="preserve"> PAGEREF _Toc212789449 \h </w:instrText>
        </w:r>
        <w:r>
          <w:rPr>
            <w:webHidden/>
          </w:rPr>
        </w:r>
        <w:r>
          <w:rPr>
            <w:webHidden/>
          </w:rPr>
          <w:fldChar w:fldCharType="separate"/>
        </w:r>
        <w:r>
          <w:rPr>
            <w:webHidden/>
          </w:rPr>
          <w:t>5</w:t>
        </w:r>
        <w:r>
          <w:rPr>
            <w:webHidden/>
          </w:rPr>
          <w:fldChar w:fldCharType="end"/>
        </w:r>
      </w:hyperlink>
    </w:p>
    <w:p w:rsidR="0079495C" w:rsidRDefault="0079495C">
      <w:pPr>
        <w:pStyle w:val="TOC3"/>
        <w:tabs>
          <w:tab w:val="right" w:leader="dot" w:pos="9350"/>
        </w:tabs>
        <w:rPr>
          <w:noProof/>
          <w:lang w:bidi="ar-SA"/>
        </w:rPr>
      </w:pPr>
      <w:hyperlink w:anchor="_Toc212789450" w:history="1">
        <w:r w:rsidRPr="0013733C">
          <w:rPr>
            <w:rStyle w:val="Hyperlink"/>
            <w:noProof/>
          </w:rPr>
          <w:t>Task 1 – Start the Azure Services Management Tools</w:t>
        </w:r>
        <w:r>
          <w:rPr>
            <w:noProof/>
            <w:webHidden/>
          </w:rPr>
          <w:tab/>
        </w:r>
        <w:r>
          <w:rPr>
            <w:noProof/>
            <w:webHidden/>
          </w:rPr>
          <w:fldChar w:fldCharType="begin"/>
        </w:r>
        <w:r>
          <w:rPr>
            <w:noProof/>
            <w:webHidden/>
          </w:rPr>
          <w:instrText xml:space="preserve"> PAGEREF _Toc212789450 \h </w:instrText>
        </w:r>
        <w:r>
          <w:rPr>
            <w:noProof/>
            <w:webHidden/>
          </w:rPr>
        </w:r>
        <w:r>
          <w:rPr>
            <w:noProof/>
            <w:webHidden/>
          </w:rPr>
          <w:fldChar w:fldCharType="separate"/>
        </w:r>
        <w:r>
          <w:rPr>
            <w:noProof/>
            <w:webHidden/>
          </w:rPr>
          <w:t>6</w:t>
        </w:r>
        <w:r>
          <w:rPr>
            <w:noProof/>
            <w:webHidden/>
          </w:rPr>
          <w:fldChar w:fldCharType="end"/>
        </w:r>
      </w:hyperlink>
    </w:p>
    <w:p w:rsidR="0079495C" w:rsidRDefault="0079495C">
      <w:pPr>
        <w:pStyle w:val="TOC3"/>
        <w:tabs>
          <w:tab w:val="right" w:leader="dot" w:pos="9350"/>
        </w:tabs>
        <w:rPr>
          <w:noProof/>
          <w:lang w:bidi="ar-SA"/>
        </w:rPr>
      </w:pPr>
      <w:hyperlink w:anchor="_Toc212789451" w:history="1">
        <w:r w:rsidRPr="0013733C">
          <w:rPr>
            <w:rStyle w:val="Hyperlink"/>
            <w:noProof/>
          </w:rPr>
          <w:t>Task 2 – Exploring the SQL Data Services view</w:t>
        </w:r>
        <w:r>
          <w:rPr>
            <w:noProof/>
            <w:webHidden/>
          </w:rPr>
          <w:tab/>
        </w:r>
        <w:r>
          <w:rPr>
            <w:noProof/>
            <w:webHidden/>
          </w:rPr>
          <w:fldChar w:fldCharType="begin"/>
        </w:r>
        <w:r>
          <w:rPr>
            <w:noProof/>
            <w:webHidden/>
          </w:rPr>
          <w:instrText xml:space="preserve"> PAGEREF _Toc212789451 \h </w:instrText>
        </w:r>
        <w:r>
          <w:rPr>
            <w:noProof/>
            <w:webHidden/>
          </w:rPr>
        </w:r>
        <w:r>
          <w:rPr>
            <w:noProof/>
            <w:webHidden/>
          </w:rPr>
          <w:fldChar w:fldCharType="separate"/>
        </w:r>
        <w:r>
          <w:rPr>
            <w:noProof/>
            <w:webHidden/>
          </w:rPr>
          <w:t>7</w:t>
        </w:r>
        <w:r>
          <w:rPr>
            <w:noProof/>
            <w:webHidden/>
          </w:rPr>
          <w:fldChar w:fldCharType="end"/>
        </w:r>
      </w:hyperlink>
    </w:p>
    <w:p w:rsidR="0079495C" w:rsidRDefault="0079495C">
      <w:pPr>
        <w:pStyle w:val="TOC3"/>
        <w:tabs>
          <w:tab w:val="right" w:leader="dot" w:pos="9350"/>
        </w:tabs>
        <w:rPr>
          <w:noProof/>
          <w:lang w:bidi="ar-SA"/>
        </w:rPr>
      </w:pPr>
      <w:hyperlink w:anchor="_Toc212789452" w:history="1">
        <w:r w:rsidRPr="0013733C">
          <w:rPr>
            <w:rStyle w:val="Hyperlink"/>
            <w:noProof/>
          </w:rPr>
          <w:t>Task 3 – Exploring the .NET Workflow Services view</w:t>
        </w:r>
        <w:r>
          <w:rPr>
            <w:noProof/>
            <w:webHidden/>
          </w:rPr>
          <w:tab/>
        </w:r>
        <w:r>
          <w:rPr>
            <w:noProof/>
            <w:webHidden/>
          </w:rPr>
          <w:fldChar w:fldCharType="begin"/>
        </w:r>
        <w:r>
          <w:rPr>
            <w:noProof/>
            <w:webHidden/>
          </w:rPr>
          <w:instrText xml:space="preserve"> PAGEREF _Toc212789452 \h </w:instrText>
        </w:r>
        <w:r>
          <w:rPr>
            <w:noProof/>
            <w:webHidden/>
          </w:rPr>
        </w:r>
        <w:r>
          <w:rPr>
            <w:noProof/>
            <w:webHidden/>
          </w:rPr>
          <w:fldChar w:fldCharType="separate"/>
        </w:r>
        <w:r>
          <w:rPr>
            <w:noProof/>
            <w:webHidden/>
          </w:rPr>
          <w:t>10</w:t>
        </w:r>
        <w:r>
          <w:rPr>
            <w:noProof/>
            <w:webHidden/>
          </w:rPr>
          <w:fldChar w:fldCharType="end"/>
        </w:r>
      </w:hyperlink>
    </w:p>
    <w:p w:rsidR="0079495C" w:rsidRDefault="0079495C">
      <w:pPr>
        <w:pStyle w:val="TOC3"/>
        <w:tabs>
          <w:tab w:val="right" w:leader="dot" w:pos="9350"/>
        </w:tabs>
        <w:rPr>
          <w:noProof/>
          <w:lang w:bidi="ar-SA"/>
        </w:rPr>
      </w:pPr>
      <w:hyperlink w:anchor="_Toc212789453" w:history="1">
        <w:r w:rsidRPr="0013733C">
          <w:rPr>
            <w:rStyle w:val="Hyperlink"/>
            <w:noProof/>
          </w:rPr>
          <w:t>Task 4 – Exploring the .NET Access Control view</w:t>
        </w:r>
        <w:r>
          <w:rPr>
            <w:noProof/>
            <w:webHidden/>
          </w:rPr>
          <w:tab/>
        </w:r>
        <w:r>
          <w:rPr>
            <w:noProof/>
            <w:webHidden/>
          </w:rPr>
          <w:fldChar w:fldCharType="begin"/>
        </w:r>
        <w:r>
          <w:rPr>
            <w:noProof/>
            <w:webHidden/>
          </w:rPr>
          <w:instrText xml:space="preserve"> PAGEREF _Toc212789453 \h </w:instrText>
        </w:r>
        <w:r>
          <w:rPr>
            <w:noProof/>
            <w:webHidden/>
          </w:rPr>
        </w:r>
        <w:r>
          <w:rPr>
            <w:noProof/>
            <w:webHidden/>
          </w:rPr>
          <w:fldChar w:fldCharType="separate"/>
        </w:r>
        <w:r>
          <w:rPr>
            <w:noProof/>
            <w:webHidden/>
          </w:rPr>
          <w:t>11</w:t>
        </w:r>
        <w:r>
          <w:rPr>
            <w:noProof/>
            <w:webHidden/>
          </w:rPr>
          <w:fldChar w:fldCharType="end"/>
        </w:r>
      </w:hyperlink>
    </w:p>
    <w:p w:rsidR="0079495C" w:rsidRDefault="0079495C">
      <w:pPr>
        <w:pStyle w:val="TOC1"/>
        <w:rPr>
          <w:rFonts w:asciiTheme="minorHAnsi" w:eastAsiaTheme="minorEastAsia" w:hAnsiTheme="minorHAnsi" w:cstheme="minorBidi"/>
          <w:b w:val="0"/>
          <w:bCs w:val="0"/>
          <w:caps w:val="0"/>
          <w:sz w:val="22"/>
          <w:szCs w:val="22"/>
          <w:lang w:eastAsia="en-US" w:bidi="ar-SA"/>
        </w:rPr>
      </w:pPr>
      <w:hyperlink w:anchor="_Toc212789454" w:history="1">
        <w:r w:rsidRPr="0013733C">
          <w:rPr>
            <w:rStyle w:val="Hyperlink"/>
          </w:rPr>
          <w:t>Using the PowerShell cmdlets</w:t>
        </w:r>
        <w:r>
          <w:rPr>
            <w:webHidden/>
          </w:rPr>
          <w:tab/>
        </w:r>
        <w:r>
          <w:rPr>
            <w:webHidden/>
          </w:rPr>
          <w:fldChar w:fldCharType="begin"/>
        </w:r>
        <w:r>
          <w:rPr>
            <w:webHidden/>
          </w:rPr>
          <w:instrText xml:space="preserve"> PAGEREF _Toc212789454 \h </w:instrText>
        </w:r>
        <w:r>
          <w:rPr>
            <w:webHidden/>
          </w:rPr>
        </w:r>
        <w:r>
          <w:rPr>
            <w:webHidden/>
          </w:rPr>
          <w:fldChar w:fldCharType="separate"/>
        </w:r>
        <w:r>
          <w:rPr>
            <w:webHidden/>
          </w:rPr>
          <w:t>13</w:t>
        </w:r>
        <w:r>
          <w:rPr>
            <w:webHidden/>
          </w:rPr>
          <w:fldChar w:fldCharType="end"/>
        </w:r>
      </w:hyperlink>
    </w:p>
    <w:p w:rsidR="0079495C" w:rsidRDefault="0079495C">
      <w:pPr>
        <w:pStyle w:val="TOC3"/>
        <w:tabs>
          <w:tab w:val="right" w:leader="dot" w:pos="9350"/>
        </w:tabs>
        <w:rPr>
          <w:noProof/>
          <w:lang w:bidi="ar-SA"/>
        </w:rPr>
      </w:pPr>
      <w:hyperlink w:anchor="_Toc212789455" w:history="1">
        <w:r w:rsidRPr="0013733C">
          <w:rPr>
            <w:rStyle w:val="Hyperlink"/>
            <w:noProof/>
          </w:rPr>
          <w:t>Task 1 – Using the SQL Data Services cmdlets</w:t>
        </w:r>
        <w:r>
          <w:rPr>
            <w:noProof/>
            <w:webHidden/>
          </w:rPr>
          <w:tab/>
        </w:r>
        <w:r>
          <w:rPr>
            <w:noProof/>
            <w:webHidden/>
          </w:rPr>
          <w:fldChar w:fldCharType="begin"/>
        </w:r>
        <w:r>
          <w:rPr>
            <w:noProof/>
            <w:webHidden/>
          </w:rPr>
          <w:instrText xml:space="preserve"> PAGEREF _Toc212789455 \h </w:instrText>
        </w:r>
        <w:r>
          <w:rPr>
            <w:noProof/>
            <w:webHidden/>
          </w:rPr>
        </w:r>
        <w:r>
          <w:rPr>
            <w:noProof/>
            <w:webHidden/>
          </w:rPr>
          <w:fldChar w:fldCharType="separate"/>
        </w:r>
        <w:r>
          <w:rPr>
            <w:noProof/>
            <w:webHidden/>
          </w:rPr>
          <w:t>15</w:t>
        </w:r>
        <w:r>
          <w:rPr>
            <w:noProof/>
            <w:webHidden/>
          </w:rPr>
          <w:fldChar w:fldCharType="end"/>
        </w:r>
      </w:hyperlink>
    </w:p>
    <w:p w:rsidR="0079495C" w:rsidRDefault="0079495C">
      <w:pPr>
        <w:pStyle w:val="TOC3"/>
        <w:tabs>
          <w:tab w:val="right" w:leader="dot" w:pos="9350"/>
        </w:tabs>
        <w:rPr>
          <w:noProof/>
          <w:lang w:bidi="ar-SA"/>
        </w:rPr>
      </w:pPr>
      <w:hyperlink w:anchor="_Toc212789456" w:history="1">
        <w:r w:rsidRPr="0013733C">
          <w:rPr>
            <w:rStyle w:val="Hyperlink"/>
            <w:noProof/>
          </w:rPr>
          <w:t>Task 2 – Using the .NET Workflow Services cmdlets</w:t>
        </w:r>
        <w:r>
          <w:rPr>
            <w:noProof/>
            <w:webHidden/>
          </w:rPr>
          <w:tab/>
        </w:r>
        <w:r>
          <w:rPr>
            <w:noProof/>
            <w:webHidden/>
          </w:rPr>
          <w:fldChar w:fldCharType="begin"/>
        </w:r>
        <w:r>
          <w:rPr>
            <w:noProof/>
            <w:webHidden/>
          </w:rPr>
          <w:instrText xml:space="preserve"> PAGEREF _Toc212789456 \h </w:instrText>
        </w:r>
        <w:r>
          <w:rPr>
            <w:noProof/>
            <w:webHidden/>
          </w:rPr>
        </w:r>
        <w:r>
          <w:rPr>
            <w:noProof/>
            <w:webHidden/>
          </w:rPr>
          <w:fldChar w:fldCharType="separate"/>
        </w:r>
        <w:r>
          <w:rPr>
            <w:noProof/>
            <w:webHidden/>
          </w:rPr>
          <w:t>15</w:t>
        </w:r>
        <w:r>
          <w:rPr>
            <w:noProof/>
            <w:webHidden/>
          </w:rPr>
          <w:fldChar w:fldCharType="end"/>
        </w:r>
      </w:hyperlink>
    </w:p>
    <w:p w:rsidR="0079495C" w:rsidRDefault="0079495C">
      <w:pPr>
        <w:pStyle w:val="TOC1"/>
        <w:rPr>
          <w:rFonts w:asciiTheme="minorHAnsi" w:eastAsiaTheme="minorEastAsia" w:hAnsiTheme="minorHAnsi" w:cstheme="minorBidi"/>
          <w:b w:val="0"/>
          <w:bCs w:val="0"/>
          <w:caps w:val="0"/>
          <w:sz w:val="22"/>
          <w:szCs w:val="22"/>
          <w:lang w:eastAsia="en-US" w:bidi="ar-SA"/>
        </w:rPr>
      </w:pPr>
      <w:hyperlink w:anchor="_Toc212789457" w:history="1">
        <w:r w:rsidRPr="0013733C">
          <w:rPr>
            <w:rStyle w:val="Hyperlink"/>
          </w:rPr>
          <w:t>Known Issues</w:t>
        </w:r>
        <w:r>
          <w:rPr>
            <w:webHidden/>
          </w:rPr>
          <w:tab/>
        </w:r>
        <w:r>
          <w:rPr>
            <w:webHidden/>
          </w:rPr>
          <w:fldChar w:fldCharType="begin"/>
        </w:r>
        <w:r>
          <w:rPr>
            <w:webHidden/>
          </w:rPr>
          <w:instrText xml:space="preserve"> PAGEREF _Toc212789457 \h </w:instrText>
        </w:r>
        <w:r>
          <w:rPr>
            <w:webHidden/>
          </w:rPr>
        </w:r>
        <w:r>
          <w:rPr>
            <w:webHidden/>
          </w:rPr>
          <w:fldChar w:fldCharType="separate"/>
        </w:r>
        <w:r>
          <w:rPr>
            <w:webHidden/>
          </w:rPr>
          <w:t>17</w:t>
        </w:r>
        <w:r>
          <w:rPr>
            <w:webHidden/>
          </w:rPr>
          <w:fldChar w:fldCharType="end"/>
        </w:r>
      </w:hyperlink>
    </w:p>
    <w:p w:rsidR="00F169D1" w:rsidRPr="00592B60" w:rsidRDefault="007575EB" w:rsidP="00F169D1">
      <w:pPr>
        <w:pStyle w:val="ppBodyText"/>
      </w:pPr>
      <w:r w:rsidRPr="00D54414">
        <w:rPr>
          <w:rFonts w:eastAsia="Batang"/>
          <w:noProof/>
          <w:szCs w:val="20"/>
          <w:lang w:eastAsia="ko-KR"/>
        </w:rPr>
        <w:fldChar w:fldCharType="end"/>
      </w:r>
      <w:r w:rsidR="00F169D1">
        <w:t xml:space="preserve"> </w:t>
      </w:r>
    </w:p>
    <w:p w:rsidR="00F169D1" w:rsidRDefault="00F169D1" w:rsidP="00F169D1">
      <w:pPr>
        <w:pStyle w:val="ppBodyText"/>
        <w:numPr>
          <w:ilvl w:val="0"/>
          <w:numId w:val="0"/>
        </w:numPr>
        <w:rPr>
          <w:rFonts w:asciiTheme="majorHAnsi" w:eastAsia="Arial Unicode MS" w:hAnsiTheme="majorHAnsi" w:cstheme="majorBidi"/>
          <w:noProof/>
          <w:color w:val="17365D" w:themeColor="text2" w:themeShade="BF"/>
          <w:spacing w:val="5"/>
          <w:kern w:val="28"/>
          <w:sz w:val="52"/>
          <w:szCs w:val="52"/>
        </w:rPr>
      </w:pPr>
      <w:r>
        <w:rPr>
          <w:rFonts w:eastAsia="Arial Unicode MS"/>
          <w:noProof/>
        </w:rPr>
        <w:br w:type="page"/>
      </w:r>
    </w:p>
    <w:sdt>
      <w:sdtPr>
        <w:rPr>
          <w:rFonts w:eastAsia="Arial Unicode MS"/>
          <w:noProof/>
        </w:rPr>
        <w:alias w:val="Topic"/>
        <w:tag w:val="6330e1f9-4edb-413e-80e3-5f2fb2ffcb67"/>
        <w:id w:val="17534891"/>
        <w:placeholder>
          <w:docPart w:val="DefaultPlaceholder_22675703"/>
        </w:placeholder>
        <w:text/>
      </w:sdtPr>
      <w:sdtContent>
        <w:bookmarkStart w:id="0" w:name="_Toc212789446" w:displacedByCustomXml="prev"/>
        <w:bookmarkStart w:id="1" w:name="_Toc207530885" w:displacedByCustomXml="prev"/>
        <w:p w:rsidR="00124C19" w:rsidRDefault="00124C19" w:rsidP="00124C19">
          <w:pPr>
            <w:pStyle w:val="ppTopic"/>
            <w:rPr>
              <w:rFonts w:eastAsia="Arial Unicode MS"/>
              <w:noProof/>
            </w:rPr>
          </w:pPr>
          <w:r>
            <w:rPr>
              <w:rFonts w:eastAsia="Arial Unicode MS"/>
              <w:noProof/>
            </w:rPr>
            <w:t>Overview</w:t>
          </w:r>
        </w:p>
      </w:sdtContent>
    </w:sdt>
    <w:bookmarkEnd w:id="0" w:displacedByCustomXml="prev"/>
    <w:bookmarkEnd w:id="1" w:displacedByCustomXml="prev"/>
    <w:p w:rsidR="00395D78" w:rsidRDefault="00395D78" w:rsidP="00DF5D7D">
      <w:pPr>
        <w:pStyle w:val="ppBodyText"/>
      </w:pPr>
      <w:r w:rsidRPr="00395D78">
        <w:t>The Azure Services Management Tools include an MMC SnapIn and Windows PowerShell cmdlets that enable a user to configure and manage several Azure Services including: SQL Data Services, .NET Access Control Services, a</w:t>
      </w:r>
      <w:r w:rsidR="0079495C">
        <w:t>nd the .NET Workflow Service</w:t>
      </w:r>
      <w:r>
        <w:t>.</w:t>
      </w:r>
      <w:r w:rsidR="00D6759E">
        <w:t xml:space="preserve">   </w:t>
      </w:r>
      <w:r w:rsidR="00DF5D7D">
        <w:t xml:space="preserve">These tools can be helpful when developing and testing applications that use Azure Services.   For instance, using these tools you can easily browse and query data in SQL Data Services, view and change .NET Access Control Rules, and deploy and view workflows.  </w:t>
      </w:r>
    </w:p>
    <w:p w:rsidR="007D6089" w:rsidRDefault="00D6759E" w:rsidP="00364D1D">
      <w:pPr>
        <w:pStyle w:val="ppBodyText"/>
      </w:pPr>
      <w:r>
        <w:rPr>
          <w:noProof/>
          <w:lang w:bidi="ar-SA"/>
        </w:rPr>
        <w:drawing>
          <wp:inline distT="0" distB="0" distL="0" distR="0">
            <wp:extent cx="4521926" cy="295275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
                    <a:srcRect/>
                    <a:stretch>
                      <a:fillRect/>
                    </a:stretch>
                  </pic:blipFill>
                  <pic:spPr bwMode="auto">
                    <a:xfrm>
                      <a:off x="0" y="0"/>
                      <a:ext cx="4521926" cy="2952750"/>
                    </a:xfrm>
                    <a:prstGeom prst="rect">
                      <a:avLst/>
                    </a:prstGeom>
                    <a:noFill/>
                    <a:ln w="9525">
                      <a:noFill/>
                      <a:miter lim="800000"/>
                      <a:headEnd/>
                      <a:tailEnd/>
                    </a:ln>
                  </pic:spPr>
                </pic:pic>
              </a:graphicData>
            </a:graphic>
          </wp:inline>
        </w:drawing>
      </w:r>
    </w:p>
    <w:p w:rsidR="00D6759E" w:rsidRDefault="00D6759E" w:rsidP="000E4CC2">
      <w:pPr>
        <w:pStyle w:val="ppBodyText"/>
      </w:pPr>
    </w:p>
    <w:p w:rsidR="00D6759E" w:rsidRDefault="00D6759E" w:rsidP="000E4CC2">
      <w:pPr>
        <w:pStyle w:val="ppBodyText"/>
      </w:pPr>
    </w:p>
    <w:p w:rsidR="00D6759E" w:rsidRPr="00592B60" w:rsidRDefault="00D6759E" w:rsidP="00D6759E">
      <w:pPr>
        <w:pStyle w:val="ppNoteIndent"/>
        <w:rPr>
          <w:b/>
        </w:rPr>
      </w:pPr>
      <w:r>
        <w:rPr>
          <w:b/>
        </w:rPr>
        <w:t>N</w:t>
      </w:r>
      <w:r w:rsidRPr="00BD1112">
        <w:rPr>
          <w:b/>
        </w:rPr>
        <w:t>ote:</w:t>
      </w:r>
      <w:r w:rsidRPr="00BD1112">
        <w:t xml:space="preserve"> </w:t>
      </w:r>
      <w:r>
        <w:t xml:space="preserve"> </w:t>
      </w:r>
      <w:r w:rsidR="00DF5D7D">
        <w:t>All of the source code for the MMC snap-in and the PowerShell cmdlets is provided with this sample.   You can use and extend the code for your own applications.   However, t</w:t>
      </w:r>
      <w:r>
        <w:t xml:space="preserve">he Azure Services Management Tools is </w:t>
      </w:r>
      <w:r w:rsidR="00DF5D7D">
        <w:t>not supported.</w:t>
      </w:r>
    </w:p>
    <w:p w:rsidR="002573C3" w:rsidRDefault="00A81845" w:rsidP="002573C3">
      <w:pPr>
        <w:pStyle w:val="Heading1"/>
        <w:rPr>
          <w:rFonts w:eastAsia="Arial Unicode MS"/>
          <w:noProof/>
        </w:rPr>
      </w:pPr>
      <w:r>
        <w:rPr>
          <w:rFonts w:eastAsia="Arial Unicode MS"/>
          <w:noProof/>
        </w:rPr>
        <w:t>Key Features</w:t>
      </w:r>
    </w:p>
    <w:p w:rsidR="00D6759E" w:rsidRDefault="00D6759E" w:rsidP="00A81845">
      <w:pPr>
        <w:pStyle w:val="ppBodyText"/>
      </w:pPr>
      <w:r>
        <w:rPr>
          <w:noProof/>
        </w:rPr>
        <w:t>The Azure Services Management Tools are designed to be usable tools for browsing, configuring, and managing several of the Azure Services.   However, they are also provided in source code form to enable you to better understand how to use the Azure Services Platform.   Some of the key features demonstrated include:</w:t>
      </w:r>
    </w:p>
    <w:p w:rsidR="00D6759E" w:rsidRDefault="00D6759E" w:rsidP="007618F4">
      <w:pPr>
        <w:pStyle w:val="ppBulletList"/>
        <w:rPr>
          <w:noProof/>
        </w:rPr>
      </w:pPr>
      <w:r>
        <w:rPr>
          <w:noProof/>
        </w:rPr>
        <w:t>.NET Access Control management APIs</w:t>
      </w:r>
    </w:p>
    <w:p w:rsidR="00D6759E" w:rsidRDefault="00D6759E" w:rsidP="007618F4">
      <w:pPr>
        <w:pStyle w:val="ppBulletList"/>
        <w:rPr>
          <w:noProof/>
        </w:rPr>
      </w:pPr>
      <w:r>
        <w:rPr>
          <w:noProof/>
        </w:rPr>
        <w:t>.NET Workflow Services WorkflowClient APIs</w:t>
      </w:r>
    </w:p>
    <w:p w:rsidR="00534BB4" w:rsidRDefault="00D6759E" w:rsidP="00D6759E">
      <w:pPr>
        <w:pStyle w:val="ppBulletList"/>
        <w:rPr>
          <w:noProof/>
        </w:rPr>
      </w:pPr>
      <w:r>
        <w:rPr>
          <w:noProof/>
        </w:rPr>
        <w:lastRenderedPageBreak/>
        <w:t>SQL Data Services management capabilities for creating</w:t>
      </w:r>
      <w:r w:rsidR="00395D78">
        <w:t xml:space="preserve"> </w:t>
      </w:r>
      <w:r>
        <w:t>Authorities and Containers</w:t>
      </w:r>
    </w:p>
    <w:p w:rsidR="00DA01C8" w:rsidRPr="00A81845" w:rsidRDefault="00DA01C8" w:rsidP="00A81845">
      <w:pPr>
        <w:pStyle w:val="ppListEnd"/>
        <w:numPr>
          <w:ilvl w:val="0"/>
          <w:numId w:val="12"/>
        </w:numPr>
        <w:rPr>
          <w:noProof/>
          <w:highlight w:val="yellow"/>
        </w:rPr>
      </w:pPr>
    </w:p>
    <w:sdt>
      <w:sdtPr>
        <w:alias w:val="Topic"/>
        <w:tag w:val="a59fb4cd-9c34-47bd-ad67-e2a0342a0806"/>
        <w:id w:val="149147503"/>
        <w:placeholder>
          <w:docPart w:val="D43F246B0AB54E3F9642654F8F12FF4D"/>
        </w:placeholder>
        <w:text/>
      </w:sdtPr>
      <w:sdtContent>
        <w:bookmarkStart w:id="2" w:name="_Toc212789447" w:displacedByCustomXml="prev"/>
        <w:p w:rsidR="0086371F" w:rsidRDefault="0086371F" w:rsidP="0086371F">
          <w:pPr>
            <w:pStyle w:val="ppTopic"/>
          </w:pPr>
          <w:r>
            <w:t>Getting Started with the Azure Services Management Tools</w:t>
          </w:r>
        </w:p>
      </w:sdtContent>
    </w:sdt>
    <w:bookmarkEnd w:id="2" w:displacedByCustomXml="prev"/>
    <w:p w:rsidR="003904FB" w:rsidRDefault="003904FB" w:rsidP="000E4CC2">
      <w:pPr>
        <w:pStyle w:val="ppBodyText"/>
        <w:rPr>
          <w:rFonts w:eastAsia="Arial Unicode MS"/>
          <w:lang w:val="en-NZ" w:bidi="ar-SA"/>
        </w:rPr>
      </w:pPr>
      <w:r>
        <w:rPr>
          <w:rFonts w:eastAsia="Arial Unicode MS"/>
          <w:lang w:val="en-NZ" w:bidi="ar-SA"/>
        </w:rPr>
        <w:t xml:space="preserve">The Azure Services Management Tools are provided in source code form.   Before you can use the tools they need to be compiled and installed.   </w:t>
      </w:r>
    </w:p>
    <w:p w:rsidR="0086371F" w:rsidRPr="004F14D2" w:rsidRDefault="0086371F" w:rsidP="000E4CC2">
      <w:pPr>
        <w:pStyle w:val="ppBodyText"/>
        <w:rPr>
          <w:rFonts w:eastAsia="Arial Unicode MS"/>
        </w:rPr>
      </w:pPr>
    </w:p>
    <w:p w:rsidR="0086371F" w:rsidRDefault="0086371F" w:rsidP="0086371F">
      <w:pPr>
        <w:pStyle w:val="ppProcedureStart"/>
      </w:pPr>
      <w:bookmarkStart w:id="3" w:name="_Toc212789448"/>
      <w:r>
        <w:t>Task 1 – Build and Install the Azure Services Management Tools</w:t>
      </w:r>
      <w:bookmarkEnd w:id="3"/>
      <w:r>
        <w:t xml:space="preserve"> </w:t>
      </w:r>
    </w:p>
    <w:p w:rsidR="003904FB" w:rsidRPr="003904FB" w:rsidRDefault="003904FB" w:rsidP="003904FB">
      <w:pPr>
        <w:pStyle w:val="ListParagraph"/>
        <w:numPr>
          <w:ilvl w:val="0"/>
          <w:numId w:val="18"/>
        </w:numPr>
        <w:rPr>
          <w:rFonts w:eastAsia="Arial Unicode MS"/>
        </w:rPr>
      </w:pPr>
      <w:r w:rsidRPr="003904FB">
        <w:rPr>
          <w:rFonts w:eastAsia="Arial Unicode MS"/>
        </w:rPr>
        <w:t>To get started using the Azure Services Management</w:t>
      </w:r>
      <w:r>
        <w:rPr>
          <w:rFonts w:eastAsia="Arial Unicode MS"/>
        </w:rPr>
        <w:t>, complete the following steps:</w:t>
      </w:r>
      <w:r w:rsidRPr="003904FB">
        <w:rPr>
          <w:rFonts w:eastAsia="Arial Unicode MS"/>
        </w:rPr>
        <w:t xml:space="preserve"> </w:t>
      </w:r>
    </w:p>
    <w:p w:rsidR="0086371F" w:rsidRDefault="003904FB" w:rsidP="0086371F">
      <w:pPr>
        <w:pStyle w:val="ppNumberList"/>
        <w:numPr>
          <w:ilvl w:val="1"/>
          <w:numId w:val="12"/>
        </w:numPr>
        <w:ind w:left="754" w:hanging="357"/>
      </w:pPr>
      <w:r>
        <w:t xml:space="preserve">Run the </w:t>
      </w:r>
      <w:r w:rsidRPr="003904FB">
        <w:rPr>
          <w:b/>
        </w:rPr>
        <w:t>StartHere.cmd</w:t>
      </w:r>
      <w:r>
        <w:t xml:space="preserve"> command script located in the directory where you extracted the Azure Services Management Tools.  </w:t>
      </w:r>
    </w:p>
    <w:p w:rsidR="003904FB" w:rsidRDefault="003904FB" w:rsidP="0086371F">
      <w:pPr>
        <w:pStyle w:val="ppNumberList"/>
        <w:numPr>
          <w:ilvl w:val="1"/>
          <w:numId w:val="12"/>
        </w:numPr>
        <w:ind w:left="754" w:hanging="357"/>
      </w:pPr>
      <w:r>
        <w:t xml:space="preserve">The </w:t>
      </w:r>
      <w:r w:rsidRPr="003904FB">
        <w:rPr>
          <w:b/>
        </w:rPr>
        <w:t>StartHere.cmd</w:t>
      </w:r>
      <w:r>
        <w:t xml:space="preserve"> script will launch the Configuration Wizard.   The Configuration Wizard is designed to check your machine to ensure that it is properly configured with all of the dependencies to build and use the Azure Services Platform Management Tools.</w:t>
      </w:r>
    </w:p>
    <w:p w:rsidR="003904FB" w:rsidRDefault="003904FB" w:rsidP="000E4CC2">
      <w:pPr>
        <w:pStyle w:val="ppFigureIndent"/>
      </w:pPr>
      <w:r>
        <w:rPr>
          <w:noProof/>
          <w:lang w:bidi="ar-SA"/>
        </w:rPr>
        <w:drawing>
          <wp:inline distT="0" distB="0" distL="0" distR="0">
            <wp:extent cx="4963001" cy="3270885"/>
            <wp:effectExtent l="19050" t="0" r="9049"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a:srcRect/>
                    <a:stretch>
                      <a:fillRect/>
                    </a:stretch>
                  </pic:blipFill>
                  <pic:spPr bwMode="auto">
                    <a:xfrm>
                      <a:off x="0" y="0"/>
                      <a:ext cx="4963001" cy="3270885"/>
                    </a:xfrm>
                    <a:prstGeom prst="rect">
                      <a:avLst/>
                    </a:prstGeom>
                    <a:noFill/>
                    <a:ln w="9525">
                      <a:noFill/>
                      <a:miter lim="800000"/>
                      <a:headEnd/>
                      <a:tailEnd/>
                    </a:ln>
                  </pic:spPr>
                </pic:pic>
              </a:graphicData>
            </a:graphic>
          </wp:inline>
        </w:drawing>
      </w:r>
    </w:p>
    <w:p w:rsidR="003904FB" w:rsidRDefault="00504C39" w:rsidP="003904FB">
      <w:pPr>
        <w:pStyle w:val="ppNumberList"/>
        <w:numPr>
          <w:ilvl w:val="1"/>
          <w:numId w:val="12"/>
        </w:numPr>
        <w:ind w:left="754" w:hanging="357"/>
      </w:pPr>
      <w:r>
        <w:t xml:space="preserve">The next step involves checking your machine for the required software and configuration.   If you don’t have the require configuration or dependencies, then in most cases you will be provided with a link to download them.   </w:t>
      </w:r>
    </w:p>
    <w:p w:rsidR="003904FB" w:rsidRDefault="003904FB" w:rsidP="000E4CC2">
      <w:pPr>
        <w:pStyle w:val="ppFigureIndent"/>
        <w:rPr>
          <w:noProof/>
        </w:rPr>
      </w:pPr>
      <w:r>
        <w:rPr>
          <w:noProof/>
          <w:lang w:bidi="ar-SA"/>
        </w:rPr>
        <w:lastRenderedPageBreak/>
        <w:drawing>
          <wp:inline distT="0" distB="0" distL="0" distR="0">
            <wp:extent cx="4963001" cy="3270885"/>
            <wp:effectExtent l="19050" t="0" r="9049"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a:srcRect/>
                    <a:stretch>
                      <a:fillRect/>
                    </a:stretch>
                  </pic:blipFill>
                  <pic:spPr bwMode="auto">
                    <a:xfrm>
                      <a:off x="0" y="0"/>
                      <a:ext cx="4963001" cy="3270885"/>
                    </a:xfrm>
                    <a:prstGeom prst="rect">
                      <a:avLst/>
                    </a:prstGeom>
                    <a:noFill/>
                    <a:ln w="9525">
                      <a:noFill/>
                      <a:miter lim="800000"/>
                      <a:headEnd/>
                      <a:tailEnd/>
                    </a:ln>
                  </pic:spPr>
                </pic:pic>
              </a:graphicData>
            </a:graphic>
          </wp:inline>
        </w:drawing>
      </w:r>
    </w:p>
    <w:p w:rsidR="00504C39" w:rsidRDefault="00504C39" w:rsidP="00504C39">
      <w:pPr>
        <w:pStyle w:val="ppNumberList"/>
        <w:numPr>
          <w:ilvl w:val="1"/>
          <w:numId w:val="12"/>
        </w:numPr>
        <w:ind w:left="754" w:hanging="357"/>
      </w:pPr>
      <w:r>
        <w:t xml:space="preserve">The </w:t>
      </w:r>
      <w:r w:rsidRPr="003904FB">
        <w:rPr>
          <w:b/>
        </w:rPr>
        <w:t>StartHere.cmd</w:t>
      </w:r>
      <w:r>
        <w:t xml:space="preserve"> script will launch the Configuration Wizard.   The Configuration Wizard is designed to check your machine to ensure that it is properly configured with all of the dependencies to build and use the Azure Services Platform Management Tools.  After the dependency check is complete, press the </w:t>
      </w:r>
      <w:r w:rsidRPr="00504C39">
        <w:rPr>
          <w:b/>
        </w:rPr>
        <w:t>Next</w:t>
      </w:r>
      <w:r>
        <w:t xml:space="preserve"> button to proceed in the Configuration Wizard.</w:t>
      </w:r>
    </w:p>
    <w:p w:rsidR="00E633C2" w:rsidRDefault="00504C39" w:rsidP="00E633C2">
      <w:pPr>
        <w:pStyle w:val="ppNumberList"/>
        <w:numPr>
          <w:ilvl w:val="1"/>
          <w:numId w:val="12"/>
        </w:numPr>
        <w:ind w:left="754" w:hanging="357"/>
      </w:pPr>
      <w:r>
        <w:t xml:space="preserve">The next step in the Configuration Wizard involves building and installing the Azure Services Management Tools.   The Configuration Wizard will execute the </w:t>
      </w:r>
      <w:r w:rsidRPr="00504C39">
        <w:rPr>
          <w:b/>
        </w:rPr>
        <w:t>Install.cmd</w:t>
      </w:r>
      <w:r>
        <w:t xml:space="preserve"> command script located in the </w:t>
      </w:r>
      <w:r w:rsidRPr="00504C39">
        <w:rPr>
          <w:b/>
        </w:rPr>
        <w:t>\Scripts</w:t>
      </w:r>
      <w:r>
        <w:t xml:space="preserve"> folder where you extracted the Azure Services Management Tools.  </w:t>
      </w:r>
    </w:p>
    <w:p w:rsidR="00E633C2" w:rsidRDefault="00E633C2" w:rsidP="000E4CC2">
      <w:pPr>
        <w:pStyle w:val="ppBodyText"/>
      </w:pPr>
    </w:p>
    <w:p w:rsidR="00E633C2" w:rsidRPr="00592B60" w:rsidRDefault="00E633C2" w:rsidP="00E633C2">
      <w:pPr>
        <w:pStyle w:val="ppNoteIndent"/>
        <w:rPr>
          <w:b/>
        </w:rPr>
      </w:pPr>
      <w:r w:rsidRPr="00BD1112">
        <w:rPr>
          <w:b/>
        </w:rPr>
        <w:t>Note:</w:t>
      </w:r>
      <w:r w:rsidRPr="00BD1112">
        <w:t xml:space="preserve"> </w:t>
      </w:r>
      <w:r>
        <w:t xml:space="preserve"> The \Scripts folder for this sample and tools includes scripts for building, installing, and uninstalling the Azure Services Powershell cmdlets and the MMC snap-in.  You can run these files in case you need to troubleshoot a problem with the automated Configuration Wizard. </w:t>
      </w:r>
    </w:p>
    <w:p w:rsidR="00E633C2" w:rsidRDefault="00E633C2" w:rsidP="003904FB">
      <w:pPr>
        <w:pStyle w:val="ppBodyText"/>
        <w:numPr>
          <w:ilvl w:val="0"/>
          <w:numId w:val="0"/>
        </w:numPr>
        <w:rPr>
          <w:noProof/>
        </w:rPr>
      </w:pPr>
    </w:p>
    <w:p w:rsidR="003904FB" w:rsidRDefault="003904FB" w:rsidP="000E4CC2">
      <w:pPr>
        <w:pStyle w:val="ppFigureIndent"/>
        <w:rPr>
          <w:noProof/>
        </w:rPr>
      </w:pPr>
      <w:r>
        <w:rPr>
          <w:noProof/>
          <w:lang w:bidi="ar-SA"/>
        </w:rPr>
        <w:lastRenderedPageBreak/>
        <w:drawing>
          <wp:inline distT="0" distB="0" distL="0" distR="0">
            <wp:extent cx="5534025" cy="2869787"/>
            <wp:effectExtent l="1905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
                    <a:srcRect/>
                    <a:stretch>
                      <a:fillRect/>
                    </a:stretch>
                  </pic:blipFill>
                  <pic:spPr bwMode="auto">
                    <a:xfrm>
                      <a:off x="0" y="0"/>
                      <a:ext cx="5534025" cy="2869787"/>
                    </a:xfrm>
                    <a:prstGeom prst="rect">
                      <a:avLst/>
                    </a:prstGeom>
                    <a:noFill/>
                    <a:ln w="9525">
                      <a:noFill/>
                      <a:miter lim="800000"/>
                      <a:headEnd/>
                      <a:tailEnd/>
                    </a:ln>
                  </pic:spPr>
                </pic:pic>
              </a:graphicData>
            </a:graphic>
          </wp:inline>
        </w:drawing>
      </w:r>
    </w:p>
    <w:p w:rsidR="00504C39" w:rsidRDefault="00504C39" w:rsidP="00504C39">
      <w:pPr>
        <w:pStyle w:val="ppNumberList"/>
        <w:numPr>
          <w:ilvl w:val="1"/>
          <w:numId w:val="12"/>
        </w:numPr>
        <w:ind w:left="754" w:hanging="357"/>
      </w:pPr>
      <w:r>
        <w:t>Finally, after building and installing the Azure Services Management Tools, the Configuration Wizard will be complete.</w:t>
      </w:r>
    </w:p>
    <w:p w:rsidR="003904FB" w:rsidRDefault="00504C39" w:rsidP="000E4CC2">
      <w:pPr>
        <w:pStyle w:val="ppFigureIndent"/>
        <w:rPr>
          <w:noProof/>
        </w:rPr>
      </w:pPr>
      <w:r>
        <w:rPr>
          <w:noProof/>
          <w:lang w:bidi="ar-SA"/>
        </w:rPr>
        <w:drawing>
          <wp:inline distT="0" distB="0" distL="0" distR="0">
            <wp:extent cx="4963001" cy="3270885"/>
            <wp:effectExtent l="19050" t="0" r="9049"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srcRect/>
                    <a:stretch>
                      <a:fillRect/>
                    </a:stretch>
                  </pic:blipFill>
                  <pic:spPr bwMode="auto">
                    <a:xfrm>
                      <a:off x="0" y="0"/>
                      <a:ext cx="4963001" cy="3270885"/>
                    </a:xfrm>
                    <a:prstGeom prst="rect">
                      <a:avLst/>
                    </a:prstGeom>
                    <a:noFill/>
                    <a:ln w="9525">
                      <a:noFill/>
                      <a:miter lim="800000"/>
                      <a:headEnd/>
                      <a:tailEnd/>
                    </a:ln>
                  </pic:spPr>
                </pic:pic>
              </a:graphicData>
            </a:graphic>
          </wp:inline>
        </w:drawing>
      </w:r>
    </w:p>
    <w:p w:rsidR="003904FB" w:rsidRDefault="003904FB" w:rsidP="00DB422D">
      <w:pPr>
        <w:pStyle w:val="ppListEnd"/>
        <w:rPr>
          <w:noProof/>
        </w:rPr>
      </w:pPr>
    </w:p>
    <w:p w:rsidR="00DB422D" w:rsidRDefault="00DB422D" w:rsidP="00DB422D">
      <w:pPr>
        <w:pStyle w:val="ppBodyText"/>
        <w:numPr>
          <w:ilvl w:val="0"/>
          <w:numId w:val="0"/>
        </w:numPr>
      </w:pPr>
    </w:p>
    <w:sdt>
      <w:sdtPr>
        <w:alias w:val="Topic"/>
        <w:tag w:val="d31e364b-d33d-4a1c-8e31-e9fd4f41f867"/>
        <w:id w:val="17534894"/>
        <w:placeholder>
          <w:docPart w:val="12E9F8BD70944C4D99AF3BE1A74D64AA"/>
        </w:placeholder>
        <w:text/>
      </w:sdtPr>
      <w:sdtContent>
        <w:bookmarkStart w:id="4" w:name="_Toc212789449" w:displacedByCustomXml="prev"/>
        <w:bookmarkStart w:id="5" w:name="_Toc207530887" w:displacedByCustomXml="prev"/>
        <w:p w:rsidR="00DB422D" w:rsidRDefault="00DB422D" w:rsidP="00DB422D">
          <w:pPr>
            <w:pStyle w:val="ppTopic"/>
          </w:pPr>
          <w:r>
            <w:t>Using the MMC Snap-In</w:t>
          </w:r>
        </w:p>
      </w:sdtContent>
    </w:sdt>
    <w:bookmarkEnd w:id="4" w:displacedByCustomXml="prev"/>
    <w:bookmarkEnd w:id="5" w:displacedByCustomXml="prev"/>
    <w:p w:rsidR="00DB422D" w:rsidRPr="004F14D2" w:rsidRDefault="00DB422D" w:rsidP="00DB422D">
      <w:pPr>
        <w:pStyle w:val="ppBodyText"/>
        <w:rPr>
          <w:rFonts w:eastAsia="Arial Unicode MS"/>
          <w:lang w:val="en-NZ" w:bidi="ar-SA"/>
        </w:rPr>
      </w:pPr>
      <w:r>
        <w:rPr>
          <w:rFonts w:eastAsia="Arial Unicode MS"/>
          <w:lang w:val="en-NZ" w:bidi="ar-SA"/>
        </w:rPr>
        <w:lastRenderedPageBreak/>
        <w:t>The Azure Services Management MMC Snap-in provides an easy and visual way to access, configure, and manage several Azure Services including the SQL Data Services, .NET Access Control Service, and .NET Workflow Service.</w:t>
      </w:r>
    </w:p>
    <w:p w:rsidR="00DB422D" w:rsidRPr="004F14D2" w:rsidRDefault="00DB422D" w:rsidP="00DB422D">
      <w:pPr>
        <w:pStyle w:val="ppBodyText"/>
        <w:rPr>
          <w:rFonts w:eastAsia="Arial Unicode MS"/>
        </w:rPr>
      </w:pPr>
    </w:p>
    <w:p w:rsidR="00DB422D" w:rsidRDefault="00DB422D" w:rsidP="00DB422D">
      <w:pPr>
        <w:pStyle w:val="ppProcedureStart"/>
      </w:pPr>
      <w:bookmarkStart w:id="6" w:name="_Toc212789450"/>
      <w:r>
        <w:t>Task 1 – Start the Azure Services Management Tools</w:t>
      </w:r>
      <w:bookmarkEnd w:id="6"/>
      <w:r>
        <w:t xml:space="preserve"> </w:t>
      </w:r>
    </w:p>
    <w:p w:rsidR="00DB422D" w:rsidRPr="00C81266" w:rsidRDefault="00DB422D" w:rsidP="00DB422D">
      <w:pPr>
        <w:pStyle w:val="ppBodyText"/>
      </w:pPr>
      <w:r>
        <w:t xml:space="preserve">In this task, you will use the MMC snap-in to connect to the Azure Services.  </w:t>
      </w:r>
    </w:p>
    <w:p w:rsidR="00DB422D" w:rsidRDefault="00DB422D" w:rsidP="00DB422D">
      <w:pPr>
        <w:pStyle w:val="ppNumberList"/>
        <w:numPr>
          <w:ilvl w:val="1"/>
          <w:numId w:val="12"/>
        </w:numPr>
        <w:ind w:left="754" w:hanging="357"/>
      </w:pPr>
      <w:r>
        <w:t xml:space="preserve">First, start the Azure Services MMC console by opening the </w:t>
      </w:r>
      <w:r w:rsidRPr="00EF3B96">
        <w:rPr>
          <w:b/>
          <w:i/>
        </w:rPr>
        <w:t>AzureServicesMMC.msc</w:t>
      </w:r>
      <w:r>
        <w:t xml:space="preserve"> file.   This file is included in the following folder after building the solution:  </w:t>
      </w:r>
      <w:r w:rsidRPr="00EF3B96">
        <w:rPr>
          <w:b/>
          <w:i/>
        </w:rPr>
        <w:t>\bin\Debug</w:t>
      </w:r>
      <w:r>
        <w:t xml:space="preserve">.  </w:t>
      </w:r>
    </w:p>
    <w:p w:rsidR="00DB422D" w:rsidRDefault="00DB422D" w:rsidP="00DB422D">
      <w:pPr>
        <w:pStyle w:val="ppNumberList"/>
        <w:numPr>
          <w:ilvl w:val="1"/>
          <w:numId w:val="12"/>
        </w:numPr>
        <w:ind w:left="754" w:hanging="357"/>
      </w:pPr>
      <w:r>
        <w:t xml:space="preserve">Select the </w:t>
      </w:r>
      <w:r w:rsidRPr="00EF3B96">
        <w:rPr>
          <w:b/>
        </w:rPr>
        <w:t>Azure Services</w:t>
      </w:r>
      <w:r>
        <w:t xml:space="preserve"> node in the MMC Snap-in</w:t>
      </w:r>
    </w:p>
    <w:p w:rsidR="00DB422D" w:rsidRDefault="00DB422D" w:rsidP="00DB422D">
      <w:pPr>
        <w:pStyle w:val="ppNumberList"/>
        <w:numPr>
          <w:ilvl w:val="1"/>
          <w:numId w:val="12"/>
        </w:numPr>
        <w:ind w:left="754" w:hanging="357"/>
      </w:pPr>
      <w:r>
        <w:t xml:space="preserve">You will be prompted to provide your User Name and Password.  Enter your .NET &amp; SQL Services solution name and the password for your solution account.  </w:t>
      </w:r>
    </w:p>
    <w:p w:rsidR="00DB422D" w:rsidRDefault="00DB422D" w:rsidP="00DB422D">
      <w:pPr>
        <w:pStyle w:val="ppFigureIndent"/>
      </w:pPr>
      <w:r>
        <w:rPr>
          <w:noProof/>
          <w:lang w:bidi="ar-SA"/>
        </w:rPr>
        <w:drawing>
          <wp:inline distT="0" distB="0" distL="0" distR="0">
            <wp:extent cx="3400425" cy="24003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3400425" cy="2400300"/>
                    </a:xfrm>
                    <a:prstGeom prst="rect">
                      <a:avLst/>
                    </a:prstGeom>
                    <a:noFill/>
                    <a:ln w="9525">
                      <a:noFill/>
                      <a:miter lim="800000"/>
                      <a:headEnd/>
                      <a:tailEnd/>
                    </a:ln>
                  </pic:spPr>
                </pic:pic>
              </a:graphicData>
            </a:graphic>
          </wp:inline>
        </w:drawing>
      </w:r>
    </w:p>
    <w:p w:rsidR="00DB422D" w:rsidRDefault="00DB422D" w:rsidP="00DB422D">
      <w:pPr>
        <w:pStyle w:val="ppNumberList"/>
        <w:numPr>
          <w:ilvl w:val="1"/>
          <w:numId w:val="12"/>
        </w:numPr>
        <w:ind w:left="754" w:hanging="357"/>
      </w:pPr>
      <w:r>
        <w:t xml:space="preserve">If you select the Azure Services node in the tree on the left side, you will see the summary view for the Azure Services MMC Snap-in.   This summary view is designed to show the .NET Access Control Rules, .NET Workflow Services workflows, and the SQL Data Services authorities that you have configured for your .NET &amp; SQL Services solution account.   </w:t>
      </w:r>
    </w:p>
    <w:p w:rsidR="00DB422D" w:rsidRDefault="00DB422D" w:rsidP="00DB422D">
      <w:pPr>
        <w:pStyle w:val="ppFigureIndent"/>
      </w:pPr>
      <w:r>
        <w:rPr>
          <w:noProof/>
          <w:lang w:bidi="ar-SA"/>
        </w:rPr>
        <w:lastRenderedPageBreak/>
        <w:drawing>
          <wp:inline distT="0" distB="0" distL="0" distR="0">
            <wp:extent cx="5943600" cy="4057127"/>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943600" cy="4057127"/>
                    </a:xfrm>
                    <a:prstGeom prst="rect">
                      <a:avLst/>
                    </a:prstGeom>
                    <a:noFill/>
                    <a:ln w="9525">
                      <a:noFill/>
                      <a:miter lim="800000"/>
                      <a:headEnd/>
                      <a:tailEnd/>
                    </a:ln>
                  </pic:spPr>
                </pic:pic>
              </a:graphicData>
            </a:graphic>
          </wp:inline>
        </w:drawing>
      </w:r>
    </w:p>
    <w:p w:rsidR="00DB422D" w:rsidRDefault="00DB422D" w:rsidP="00DB422D">
      <w:pPr>
        <w:pStyle w:val="ppListEnd"/>
      </w:pPr>
    </w:p>
    <w:p w:rsidR="00DB422D" w:rsidRDefault="00DB422D" w:rsidP="00DB422D">
      <w:pPr>
        <w:pStyle w:val="ppBodyText"/>
        <w:numPr>
          <w:ilvl w:val="0"/>
          <w:numId w:val="18"/>
        </w:numPr>
      </w:pPr>
    </w:p>
    <w:p w:rsidR="00DB422D" w:rsidRDefault="00DB422D" w:rsidP="00DB422D">
      <w:pPr>
        <w:pStyle w:val="ppProcedureStart"/>
        <w:numPr>
          <w:ilvl w:val="0"/>
          <w:numId w:val="18"/>
        </w:numPr>
      </w:pPr>
      <w:bookmarkStart w:id="7" w:name="_Toc212789451"/>
      <w:r>
        <w:t>Task 2 – Exploring the SQL Data Services view</w:t>
      </w:r>
      <w:bookmarkEnd w:id="7"/>
    </w:p>
    <w:p w:rsidR="00DB422D" w:rsidRDefault="00DB422D" w:rsidP="00DB422D">
      <w:pPr>
        <w:pStyle w:val="ppNumberList"/>
        <w:numPr>
          <w:ilvl w:val="1"/>
          <w:numId w:val="12"/>
        </w:numPr>
        <w:ind w:left="754" w:hanging="357"/>
      </w:pPr>
      <w:r>
        <w:t xml:space="preserve">You will see the SQL Data Services Authorities view by selecting the Database Authorities node in the tree view on the left site.   From this view you can see the authorities that you have created and create a new authority by clicking on the </w:t>
      </w:r>
      <w:r w:rsidRPr="00E633C2">
        <w:rPr>
          <w:b/>
        </w:rPr>
        <w:t>New Authority</w:t>
      </w:r>
      <w:r>
        <w:t xml:space="preserve"> action link on the right side.</w:t>
      </w:r>
    </w:p>
    <w:p w:rsidR="00DB422D" w:rsidRDefault="00DB422D" w:rsidP="00DB422D">
      <w:pPr>
        <w:pStyle w:val="ppFigureIndent"/>
      </w:pPr>
      <w:r>
        <w:rPr>
          <w:noProof/>
          <w:lang w:bidi="ar-SA"/>
        </w:rPr>
        <w:lastRenderedPageBreak/>
        <w:drawing>
          <wp:inline distT="0" distB="0" distL="0" distR="0">
            <wp:extent cx="5943600" cy="3932291"/>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a:srcRect/>
                    <a:stretch>
                      <a:fillRect/>
                    </a:stretch>
                  </pic:blipFill>
                  <pic:spPr bwMode="auto">
                    <a:xfrm>
                      <a:off x="0" y="0"/>
                      <a:ext cx="5943600" cy="3932291"/>
                    </a:xfrm>
                    <a:prstGeom prst="rect">
                      <a:avLst/>
                    </a:prstGeom>
                    <a:noFill/>
                    <a:ln w="9525">
                      <a:noFill/>
                      <a:miter lim="800000"/>
                      <a:headEnd/>
                      <a:tailEnd/>
                    </a:ln>
                  </pic:spPr>
                </pic:pic>
              </a:graphicData>
            </a:graphic>
          </wp:inline>
        </w:drawing>
      </w:r>
    </w:p>
    <w:p w:rsidR="00DB422D" w:rsidRDefault="00DB422D" w:rsidP="00DB422D">
      <w:pPr>
        <w:pStyle w:val="ppNumberList"/>
        <w:numPr>
          <w:ilvl w:val="1"/>
          <w:numId w:val="12"/>
        </w:numPr>
        <w:ind w:left="754" w:hanging="357"/>
      </w:pPr>
      <w:r>
        <w:t xml:space="preserve">If you expand the Authority node in the tree view, you will be able to view all of the containers within the authority.   Select a specific authority in the tree view to view the containers.   From the containers view you can create and delete containers within an Authority. </w:t>
      </w:r>
    </w:p>
    <w:p w:rsidR="00DB422D" w:rsidRDefault="00DB422D" w:rsidP="00DB422D">
      <w:pPr>
        <w:pStyle w:val="ppFigureIndent"/>
      </w:pPr>
      <w:r>
        <w:rPr>
          <w:noProof/>
          <w:lang w:bidi="ar-SA"/>
        </w:rPr>
        <w:lastRenderedPageBreak/>
        <w:drawing>
          <wp:inline distT="0" distB="0" distL="0" distR="0">
            <wp:extent cx="5943600" cy="3932291"/>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
                    <a:srcRect/>
                    <a:stretch>
                      <a:fillRect/>
                    </a:stretch>
                  </pic:blipFill>
                  <pic:spPr bwMode="auto">
                    <a:xfrm>
                      <a:off x="0" y="0"/>
                      <a:ext cx="5943600" cy="3932291"/>
                    </a:xfrm>
                    <a:prstGeom prst="rect">
                      <a:avLst/>
                    </a:prstGeom>
                    <a:noFill/>
                    <a:ln w="9525">
                      <a:noFill/>
                      <a:miter lim="800000"/>
                      <a:headEnd/>
                      <a:tailEnd/>
                    </a:ln>
                  </pic:spPr>
                </pic:pic>
              </a:graphicData>
            </a:graphic>
          </wp:inline>
        </w:drawing>
      </w:r>
    </w:p>
    <w:p w:rsidR="00DB422D" w:rsidRDefault="00DB422D" w:rsidP="00DB422D">
      <w:pPr>
        <w:pStyle w:val="ppNumberList"/>
        <w:numPr>
          <w:ilvl w:val="1"/>
          <w:numId w:val="12"/>
        </w:numPr>
        <w:ind w:left="754" w:hanging="357"/>
      </w:pPr>
      <w:r>
        <w:t>Finally, if you drill in on an authority you can view the entities contained within the authority.   On the entities view, you can execute ad-hoc queries within a container to filter and sort the entities.   You can also select an entity to view all of its data in the bottom section of the view.</w:t>
      </w:r>
    </w:p>
    <w:p w:rsidR="00DB422D" w:rsidRDefault="00DB422D" w:rsidP="00DB422D">
      <w:pPr>
        <w:pStyle w:val="ppFigureIndent"/>
      </w:pPr>
      <w:r>
        <w:rPr>
          <w:noProof/>
          <w:lang w:bidi="ar-SA"/>
        </w:rPr>
        <w:lastRenderedPageBreak/>
        <w:drawing>
          <wp:inline distT="0" distB="0" distL="0" distR="0">
            <wp:extent cx="5943600" cy="3932291"/>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
                    <a:srcRect/>
                    <a:stretch>
                      <a:fillRect/>
                    </a:stretch>
                  </pic:blipFill>
                  <pic:spPr bwMode="auto">
                    <a:xfrm>
                      <a:off x="0" y="0"/>
                      <a:ext cx="5943600" cy="3932291"/>
                    </a:xfrm>
                    <a:prstGeom prst="rect">
                      <a:avLst/>
                    </a:prstGeom>
                    <a:noFill/>
                    <a:ln w="9525">
                      <a:noFill/>
                      <a:miter lim="800000"/>
                      <a:headEnd/>
                      <a:tailEnd/>
                    </a:ln>
                  </pic:spPr>
                </pic:pic>
              </a:graphicData>
            </a:graphic>
          </wp:inline>
        </w:drawing>
      </w:r>
    </w:p>
    <w:p w:rsidR="00DB422D" w:rsidRDefault="00DB422D" w:rsidP="00DB422D">
      <w:pPr>
        <w:pStyle w:val="ppListEnd"/>
      </w:pPr>
    </w:p>
    <w:p w:rsidR="00DB422D" w:rsidRPr="009A7A62" w:rsidRDefault="00DB422D" w:rsidP="00DB422D">
      <w:pPr>
        <w:pStyle w:val="ppBodyText"/>
      </w:pPr>
    </w:p>
    <w:p w:rsidR="00DB422D" w:rsidRDefault="00DB422D" w:rsidP="00DB422D">
      <w:pPr>
        <w:pStyle w:val="ppProcedureStart"/>
        <w:numPr>
          <w:ilvl w:val="0"/>
          <w:numId w:val="18"/>
        </w:numPr>
      </w:pPr>
      <w:bookmarkStart w:id="8" w:name="_Toc212789452"/>
      <w:r>
        <w:t>Task 3 – Exploring the .NET Workflow Services view</w:t>
      </w:r>
      <w:bookmarkEnd w:id="8"/>
    </w:p>
    <w:p w:rsidR="00DB422D" w:rsidRDefault="00DB422D" w:rsidP="00DB422D">
      <w:pPr>
        <w:pStyle w:val="ppNumberList"/>
        <w:numPr>
          <w:ilvl w:val="1"/>
          <w:numId w:val="12"/>
        </w:numPr>
        <w:ind w:left="754" w:hanging="357"/>
      </w:pPr>
      <w:r>
        <w:t>If you select the Workflow node in the navigation tree, you can then see the Workflow view in the MMC console.  The Workflow View allows a user to see the workflow types that have been deployed to .NET Workflow Services and view a visual diagram of each workflow by selecting the type from the list.</w:t>
      </w:r>
    </w:p>
    <w:p w:rsidR="00DB422D" w:rsidRDefault="00DB422D" w:rsidP="00DB422D">
      <w:pPr>
        <w:pStyle w:val="ppFigureIndent"/>
      </w:pPr>
      <w:r w:rsidRPr="00E633C2">
        <w:rPr>
          <w:noProof/>
          <w:lang w:bidi="ar-SA"/>
        </w:rPr>
        <w:lastRenderedPageBreak/>
        <w:drawing>
          <wp:inline distT="0" distB="0" distL="0" distR="0">
            <wp:extent cx="5943600" cy="4057127"/>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943600" cy="4057127"/>
                    </a:xfrm>
                    <a:prstGeom prst="rect">
                      <a:avLst/>
                    </a:prstGeom>
                    <a:noFill/>
                    <a:ln w="9525">
                      <a:noFill/>
                      <a:miter lim="800000"/>
                      <a:headEnd/>
                      <a:tailEnd/>
                    </a:ln>
                  </pic:spPr>
                </pic:pic>
              </a:graphicData>
            </a:graphic>
          </wp:inline>
        </w:drawing>
      </w:r>
    </w:p>
    <w:p w:rsidR="00DB422D" w:rsidRDefault="00DB422D" w:rsidP="00DB422D">
      <w:pPr>
        <w:pStyle w:val="ppNumberList"/>
        <w:numPr>
          <w:ilvl w:val="1"/>
          <w:numId w:val="12"/>
        </w:numPr>
        <w:ind w:left="754" w:hanging="357"/>
      </w:pPr>
      <w:r>
        <w:t xml:space="preserve">The Workflow view also allows you to perform a variety of actions including deploying and undeploying workflow types to .NET Workflow Services, deleting the workflow instances, and exporting the Workflow XOML and rules files.  </w:t>
      </w:r>
    </w:p>
    <w:p w:rsidR="00DB422D" w:rsidRDefault="00DB422D" w:rsidP="00DB422D">
      <w:pPr>
        <w:pStyle w:val="ppNumberList"/>
        <w:numPr>
          <w:ilvl w:val="1"/>
          <w:numId w:val="12"/>
        </w:numPr>
        <w:ind w:left="754" w:hanging="357"/>
      </w:pPr>
      <w:r>
        <w:t xml:space="preserve">For example, by selecting the Deploy Workflow action, you can deploy a new workflow to .NET Workflow Services by providing the Workflow Type Name and the location of the workflow XOML and rules files.  </w:t>
      </w:r>
    </w:p>
    <w:p w:rsidR="00DB422D" w:rsidRDefault="00DB422D" w:rsidP="00DB422D">
      <w:pPr>
        <w:pStyle w:val="ppFigureIndent"/>
      </w:pPr>
      <w:r w:rsidRPr="009A7A62">
        <w:rPr>
          <w:noProof/>
          <w:lang w:bidi="ar-SA"/>
        </w:rPr>
        <w:drawing>
          <wp:inline distT="0" distB="0" distL="0" distR="0">
            <wp:extent cx="4657725" cy="1838325"/>
            <wp:effectExtent l="19050" t="0" r="9525"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4657725" cy="1838325"/>
                    </a:xfrm>
                    <a:prstGeom prst="rect">
                      <a:avLst/>
                    </a:prstGeom>
                    <a:noFill/>
                    <a:ln w="9525">
                      <a:noFill/>
                      <a:miter lim="800000"/>
                      <a:headEnd/>
                      <a:tailEnd/>
                    </a:ln>
                  </pic:spPr>
                </pic:pic>
              </a:graphicData>
            </a:graphic>
          </wp:inline>
        </w:drawing>
      </w:r>
    </w:p>
    <w:p w:rsidR="00DB422D" w:rsidRDefault="00DB422D" w:rsidP="00DB422D">
      <w:pPr>
        <w:pStyle w:val="ppListEnd"/>
      </w:pPr>
    </w:p>
    <w:p w:rsidR="00DB422D" w:rsidRDefault="00DB422D" w:rsidP="00DB422D">
      <w:pPr>
        <w:pStyle w:val="ppBodyText"/>
      </w:pPr>
    </w:p>
    <w:p w:rsidR="00DB422D" w:rsidRDefault="00DB422D" w:rsidP="00DB422D">
      <w:pPr>
        <w:pStyle w:val="ppProcedureStart"/>
        <w:numPr>
          <w:ilvl w:val="0"/>
          <w:numId w:val="18"/>
        </w:numPr>
      </w:pPr>
      <w:bookmarkStart w:id="9" w:name="_Toc212789453"/>
      <w:r>
        <w:t>Task 4 – Exploring the .NET Access Control view</w:t>
      </w:r>
      <w:bookmarkEnd w:id="9"/>
    </w:p>
    <w:p w:rsidR="00DB422D" w:rsidRDefault="00DB422D" w:rsidP="00DB422D">
      <w:pPr>
        <w:pStyle w:val="ppProcedureStart"/>
        <w:numPr>
          <w:ilvl w:val="0"/>
          <w:numId w:val="18"/>
        </w:numPr>
      </w:pPr>
    </w:p>
    <w:p w:rsidR="00DB422D" w:rsidRDefault="00DB422D" w:rsidP="00DB422D">
      <w:pPr>
        <w:pStyle w:val="ppNumberList"/>
        <w:numPr>
          <w:ilvl w:val="1"/>
          <w:numId w:val="12"/>
        </w:numPr>
        <w:ind w:left="754" w:hanging="357"/>
      </w:pPr>
      <w:r>
        <w:lastRenderedPageBreak/>
        <w:t xml:space="preserve">Select the Access Control node in the navigation tree to view the .NET Access Control view.    The default view simply shows the different types of scopes in the right side. </w:t>
      </w:r>
    </w:p>
    <w:p w:rsidR="00DB422D" w:rsidRDefault="00DB422D" w:rsidP="00DB422D">
      <w:pPr>
        <w:pStyle w:val="ppNumberList"/>
        <w:numPr>
          <w:ilvl w:val="1"/>
          <w:numId w:val="12"/>
        </w:numPr>
        <w:ind w:left="754" w:hanging="357"/>
      </w:pPr>
      <w:r>
        <w:t xml:space="preserve">If you deployed a workflow in the previous task, then you should be able to expand the Workflow category under Access Control and view a few scopes.   </w:t>
      </w:r>
    </w:p>
    <w:p w:rsidR="00DB422D" w:rsidRDefault="00DB422D" w:rsidP="00DB422D">
      <w:pPr>
        <w:pStyle w:val="ppNumberList"/>
        <w:numPr>
          <w:ilvl w:val="1"/>
          <w:numId w:val="12"/>
        </w:numPr>
        <w:ind w:left="754" w:hanging="357"/>
      </w:pPr>
      <w:r>
        <w:t xml:space="preserve">By selecting one of the scopes you will see the Access Control rules designer view.   The Access Control rules designer allows a user to define all of the configuration for an Access Control rules scope from a single view.   This includes adding issuers, adding rules, and adding/removing claim types.   </w:t>
      </w:r>
    </w:p>
    <w:p w:rsidR="00DB422D" w:rsidRDefault="00DB422D" w:rsidP="00DB422D">
      <w:pPr>
        <w:pStyle w:val="ppFigureIndent"/>
      </w:pPr>
      <w:r w:rsidRPr="00DA68EE">
        <w:rPr>
          <w:noProof/>
          <w:lang w:bidi="ar-SA"/>
        </w:rPr>
        <w:drawing>
          <wp:inline distT="0" distB="0" distL="0" distR="0">
            <wp:extent cx="5943600" cy="4057127"/>
            <wp:effectExtent l="19050" t="0" r="0" b="0"/>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5943600" cy="4057127"/>
                    </a:xfrm>
                    <a:prstGeom prst="rect">
                      <a:avLst/>
                    </a:prstGeom>
                    <a:noFill/>
                    <a:ln w="9525">
                      <a:noFill/>
                      <a:miter lim="800000"/>
                      <a:headEnd/>
                      <a:tailEnd/>
                    </a:ln>
                  </pic:spPr>
                </pic:pic>
              </a:graphicData>
            </a:graphic>
          </wp:inline>
        </w:drawing>
      </w:r>
    </w:p>
    <w:p w:rsidR="00DB422D" w:rsidRDefault="00DB422D" w:rsidP="00DB422D">
      <w:pPr>
        <w:pStyle w:val="ppNumberList"/>
        <w:numPr>
          <w:ilvl w:val="1"/>
          <w:numId w:val="12"/>
        </w:numPr>
        <w:ind w:left="754" w:hanging="357"/>
      </w:pPr>
      <w:r>
        <w:t>By clicking on one of the red boxes in the diagram, you can view and change the access control rule including the input claims and output claims.</w:t>
      </w:r>
    </w:p>
    <w:p w:rsidR="00DB422D" w:rsidRPr="006B40C4" w:rsidRDefault="00DB422D" w:rsidP="006B40C4">
      <w:pPr>
        <w:pStyle w:val="ppBodyText"/>
      </w:pPr>
    </w:p>
    <w:p w:rsidR="00DB422D" w:rsidRDefault="00DB422D" w:rsidP="006B40C4">
      <w:pPr>
        <w:pStyle w:val="ppBodyText"/>
      </w:pPr>
    </w:p>
    <w:p w:rsidR="00DB422D" w:rsidRPr="00811E42" w:rsidRDefault="00DB422D" w:rsidP="00DB422D">
      <w:pPr>
        <w:pStyle w:val="ppFigureIndent"/>
      </w:pPr>
      <w:r w:rsidRPr="00DA68EE">
        <w:rPr>
          <w:noProof/>
          <w:lang w:bidi="ar-SA"/>
        </w:rPr>
        <w:lastRenderedPageBreak/>
        <w:drawing>
          <wp:inline distT="0" distB="0" distL="0" distR="0">
            <wp:extent cx="5495925" cy="3198096"/>
            <wp:effectExtent l="19050" t="0" r="9525" b="0"/>
            <wp:docPr id="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srcRect/>
                    <a:stretch>
                      <a:fillRect/>
                    </a:stretch>
                  </pic:blipFill>
                  <pic:spPr bwMode="auto">
                    <a:xfrm>
                      <a:off x="0" y="0"/>
                      <a:ext cx="5497554" cy="3199044"/>
                    </a:xfrm>
                    <a:prstGeom prst="rect">
                      <a:avLst/>
                    </a:prstGeom>
                    <a:noFill/>
                    <a:ln w="9525">
                      <a:noFill/>
                      <a:miter lim="800000"/>
                      <a:headEnd/>
                      <a:tailEnd/>
                    </a:ln>
                  </pic:spPr>
                </pic:pic>
              </a:graphicData>
            </a:graphic>
          </wp:inline>
        </w:drawing>
      </w:r>
    </w:p>
    <w:p w:rsidR="00DB422D" w:rsidRDefault="00DB422D" w:rsidP="00DB422D">
      <w:pPr>
        <w:pStyle w:val="ppListEnd"/>
      </w:pPr>
    </w:p>
    <w:p w:rsidR="00DB422D" w:rsidRDefault="00DB422D" w:rsidP="00DB422D">
      <w:pPr>
        <w:pStyle w:val="ppBodyText"/>
        <w:numPr>
          <w:ilvl w:val="0"/>
          <w:numId w:val="0"/>
        </w:numPr>
      </w:pPr>
    </w:p>
    <w:p w:rsidR="006B40C4" w:rsidRDefault="006B40C4" w:rsidP="006B40C4">
      <w:pPr>
        <w:pStyle w:val="ppBodyText"/>
        <w:numPr>
          <w:ilvl w:val="0"/>
          <w:numId w:val="0"/>
        </w:numPr>
      </w:pPr>
    </w:p>
    <w:sdt>
      <w:sdtPr>
        <w:alias w:val="Topic"/>
        <w:tag w:val="7caaaefc-98db-4ba3-b613-95a439e7f76f"/>
        <w:id w:val="149147502"/>
        <w:placeholder>
          <w:docPart w:val="85436AEF5342450FB5D9411FB892BF67"/>
        </w:placeholder>
        <w:text/>
      </w:sdtPr>
      <w:sdtContent>
        <w:bookmarkStart w:id="10" w:name="_Toc212789454" w:displacedByCustomXml="prev"/>
        <w:p w:rsidR="006B40C4" w:rsidRDefault="006B40C4" w:rsidP="006B40C4">
          <w:pPr>
            <w:pStyle w:val="ppTopic"/>
          </w:pPr>
          <w:r>
            <w:t>Using the PowerShell cmdlets</w:t>
          </w:r>
        </w:p>
      </w:sdtContent>
    </w:sdt>
    <w:bookmarkEnd w:id="10" w:displacedByCustomXml="prev"/>
    <w:p w:rsidR="006B40C4" w:rsidRPr="000E4CC2" w:rsidRDefault="006B40C4" w:rsidP="006B40C4">
      <w:pPr>
        <w:pStyle w:val="ppBodyText"/>
      </w:pPr>
      <w:r w:rsidRPr="000E4CC2">
        <w:t>The Azure Services Management sample includes Windows PowerShell cmdlets for performing all of the operations that are surfaced in the MMC snap-in.   These PowerShell cmdlets can be used to run unattended scripts to configure the Azure Services.   The PowerShell cmdlets provided with this sample include the following:</w:t>
      </w:r>
    </w:p>
    <w:p w:rsidR="006B40C4" w:rsidRDefault="006B40C4" w:rsidP="006B40C4">
      <w:pPr>
        <w:pStyle w:val="ppBodyText"/>
        <w:numPr>
          <w:ilvl w:val="0"/>
          <w:numId w:val="0"/>
        </w:numPr>
      </w:pPr>
    </w:p>
    <w:p w:rsidR="008101F3" w:rsidRPr="008101F3" w:rsidRDefault="008101F3" w:rsidP="006B40C4">
      <w:pPr>
        <w:pStyle w:val="ppBodyText"/>
        <w:numPr>
          <w:ilvl w:val="0"/>
          <w:numId w:val="0"/>
        </w:numPr>
        <w:rPr>
          <w:b/>
        </w:rPr>
      </w:pPr>
      <w:r w:rsidRPr="008101F3">
        <w:rPr>
          <w:b/>
        </w:rPr>
        <w:t>SQL Data Services cmdlets</w:t>
      </w:r>
    </w:p>
    <w:tbl>
      <w:tblPr>
        <w:tblStyle w:val="ppTableGrid"/>
        <w:tblW w:w="4573" w:type="pct"/>
        <w:tblInd w:w="817" w:type="dxa"/>
        <w:tblLook w:val="04A0"/>
      </w:tblPr>
      <w:tblGrid>
        <w:gridCol w:w="1900"/>
        <w:gridCol w:w="6858"/>
      </w:tblGrid>
      <w:tr w:rsidR="006B40C4" w:rsidTr="00E400F9">
        <w:trPr>
          <w:cnfStyle w:val="100000000000"/>
        </w:trPr>
        <w:tc>
          <w:tcPr>
            <w:tcW w:w="1085" w:type="pct"/>
          </w:tcPr>
          <w:p w:rsidR="006B40C4" w:rsidRDefault="006B40C4" w:rsidP="00CA2DC9">
            <w:pPr>
              <w:pStyle w:val="ppTableText"/>
            </w:pPr>
            <w:r>
              <w:t>Name</w:t>
            </w:r>
          </w:p>
        </w:tc>
        <w:tc>
          <w:tcPr>
            <w:tcW w:w="3915" w:type="pct"/>
          </w:tcPr>
          <w:p w:rsidR="006B40C4" w:rsidRDefault="006B40C4" w:rsidP="00CA2DC9">
            <w:pPr>
              <w:pStyle w:val="ppTableText"/>
            </w:pPr>
            <w:r>
              <w:t>Description</w:t>
            </w:r>
          </w:p>
        </w:tc>
      </w:tr>
      <w:tr w:rsidR="006B40C4" w:rsidTr="00E400F9">
        <w:tc>
          <w:tcPr>
            <w:tcW w:w="1085" w:type="pct"/>
          </w:tcPr>
          <w:p w:rsidR="006B40C4" w:rsidRDefault="00566363" w:rsidP="00566363">
            <w:pPr>
              <w:pStyle w:val="ppTableText"/>
            </w:pPr>
            <w:r>
              <w:t>Get-Authorities</w:t>
            </w:r>
          </w:p>
        </w:tc>
        <w:tc>
          <w:tcPr>
            <w:tcW w:w="3915" w:type="pct"/>
          </w:tcPr>
          <w:p w:rsidR="006B40C4" w:rsidRDefault="0041742D" w:rsidP="00CA2DC9">
            <w:pPr>
              <w:pStyle w:val="ppTableText"/>
            </w:pPr>
            <w:r>
              <w:t>Returns the list of SQL Data Services authorities</w:t>
            </w:r>
          </w:p>
        </w:tc>
      </w:tr>
      <w:tr w:rsidR="006B40C4" w:rsidTr="00E400F9">
        <w:tc>
          <w:tcPr>
            <w:tcW w:w="1085" w:type="pct"/>
          </w:tcPr>
          <w:p w:rsidR="006B40C4" w:rsidRDefault="00566363" w:rsidP="00566363">
            <w:pPr>
              <w:pStyle w:val="ppTableText"/>
            </w:pPr>
            <w:r>
              <w:t>Get-Containers</w:t>
            </w:r>
          </w:p>
        </w:tc>
        <w:tc>
          <w:tcPr>
            <w:tcW w:w="3915" w:type="pct"/>
          </w:tcPr>
          <w:p w:rsidR="006B40C4" w:rsidRPr="0031048E" w:rsidRDefault="0041742D" w:rsidP="00CA2DC9">
            <w:pPr>
              <w:pStyle w:val="ppTableText"/>
              <w:rPr>
                <w:rFonts w:eastAsia="Arial Unicode MS"/>
              </w:rPr>
            </w:pPr>
            <w:r>
              <w:rPr>
                <w:rFonts w:eastAsia="Arial Unicode MS"/>
              </w:rPr>
              <w:t>Returns the list of SQL Data Services containers</w:t>
            </w:r>
            <w:r w:rsidR="00312BB4">
              <w:rPr>
                <w:rFonts w:eastAsia="Arial Unicode MS"/>
              </w:rPr>
              <w:t xml:space="preserve"> within a specific authority</w:t>
            </w:r>
          </w:p>
        </w:tc>
      </w:tr>
      <w:tr w:rsidR="00566363" w:rsidTr="00E400F9">
        <w:tc>
          <w:tcPr>
            <w:tcW w:w="1085" w:type="pct"/>
          </w:tcPr>
          <w:p w:rsidR="00566363" w:rsidRDefault="00566363" w:rsidP="00566363">
            <w:pPr>
              <w:pStyle w:val="ppTableText"/>
            </w:pPr>
            <w:r>
              <w:t>Get-Entities</w:t>
            </w:r>
          </w:p>
        </w:tc>
        <w:tc>
          <w:tcPr>
            <w:tcW w:w="3915" w:type="pct"/>
          </w:tcPr>
          <w:p w:rsidR="00566363" w:rsidRPr="0031048E" w:rsidRDefault="00312BB4" w:rsidP="00CA2DC9">
            <w:pPr>
              <w:pStyle w:val="ppTableText"/>
              <w:rPr>
                <w:rFonts w:eastAsia="Arial Unicode MS"/>
              </w:rPr>
            </w:pPr>
            <w:r>
              <w:rPr>
                <w:rFonts w:eastAsia="Arial Unicode MS"/>
              </w:rPr>
              <w:t>Returns the list of entities from a SQL Data Services container</w:t>
            </w:r>
          </w:p>
        </w:tc>
      </w:tr>
      <w:tr w:rsidR="00566363" w:rsidTr="00E400F9">
        <w:tc>
          <w:tcPr>
            <w:tcW w:w="1085" w:type="pct"/>
          </w:tcPr>
          <w:p w:rsidR="00566363" w:rsidRDefault="00566363" w:rsidP="00566363">
            <w:pPr>
              <w:pStyle w:val="ppTableText"/>
            </w:pPr>
            <w:r>
              <w:t>Get-Query</w:t>
            </w:r>
          </w:p>
        </w:tc>
        <w:tc>
          <w:tcPr>
            <w:tcW w:w="3915" w:type="pct"/>
          </w:tcPr>
          <w:p w:rsidR="00566363" w:rsidRPr="0031048E" w:rsidRDefault="00312BB4" w:rsidP="00CA2DC9">
            <w:pPr>
              <w:pStyle w:val="ppTableText"/>
              <w:rPr>
                <w:rFonts w:eastAsia="Arial Unicode MS"/>
              </w:rPr>
            </w:pPr>
            <w:r>
              <w:rPr>
                <w:rFonts w:eastAsia="Arial Unicode MS"/>
              </w:rPr>
              <w:t>Executes a query against SQL Data Services</w:t>
            </w:r>
          </w:p>
        </w:tc>
      </w:tr>
      <w:tr w:rsidR="00566363" w:rsidTr="00E400F9">
        <w:tc>
          <w:tcPr>
            <w:tcW w:w="1085" w:type="pct"/>
          </w:tcPr>
          <w:p w:rsidR="00566363" w:rsidRDefault="00566363" w:rsidP="00566363">
            <w:pPr>
              <w:pStyle w:val="ppTableText"/>
            </w:pPr>
            <w:r>
              <w:t>New-Authority</w:t>
            </w:r>
          </w:p>
        </w:tc>
        <w:tc>
          <w:tcPr>
            <w:tcW w:w="3915" w:type="pct"/>
          </w:tcPr>
          <w:p w:rsidR="00566363" w:rsidRPr="0031048E" w:rsidRDefault="00312BB4" w:rsidP="00CA2DC9">
            <w:pPr>
              <w:pStyle w:val="ppTableText"/>
              <w:rPr>
                <w:rFonts w:eastAsia="Arial Unicode MS"/>
              </w:rPr>
            </w:pPr>
            <w:r>
              <w:rPr>
                <w:rFonts w:eastAsia="Arial Unicode MS"/>
              </w:rPr>
              <w:t xml:space="preserve">Creates a new SQL Data Services </w:t>
            </w:r>
            <w:r w:rsidR="008101F3">
              <w:rPr>
                <w:rFonts w:eastAsia="Arial Unicode MS"/>
              </w:rPr>
              <w:t>authority</w:t>
            </w:r>
          </w:p>
        </w:tc>
      </w:tr>
      <w:tr w:rsidR="00566363" w:rsidTr="00E400F9">
        <w:tc>
          <w:tcPr>
            <w:tcW w:w="1085" w:type="pct"/>
          </w:tcPr>
          <w:p w:rsidR="00566363" w:rsidRDefault="00566363" w:rsidP="00566363">
            <w:pPr>
              <w:pStyle w:val="ppTableText"/>
            </w:pPr>
            <w:r>
              <w:t>New-Container</w:t>
            </w:r>
          </w:p>
        </w:tc>
        <w:tc>
          <w:tcPr>
            <w:tcW w:w="3915" w:type="pct"/>
          </w:tcPr>
          <w:p w:rsidR="00566363" w:rsidRPr="0031048E" w:rsidRDefault="008101F3" w:rsidP="00CA2DC9">
            <w:pPr>
              <w:pStyle w:val="ppTableText"/>
              <w:rPr>
                <w:rFonts w:eastAsia="Arial Unicode MS"/>
              </w:rPr>
            </w:pPr>
            <w:r>
              <w:rPr>
                <w:rFonts w:eastAsia="Arial Unicode MS"/>
              </w:rPr>
              <w:t>Creates a new SQL Data Services container in the specified authority</w:t>
            </w:r>
          </w:p>
        </w:tc>
      </w:tr>
      <w:tr w:rsidR="00566363" w:rsidTr="00E400F9">
        <w:tc>
          <w:tcPr>
            <w:tcW w:w="1085" w:type="pct"/>
          </w:tcPr>
          <w:p w:rsidR="00566363" w:rsidRDefault="00566363" w:rsidP="00566363">
            <w:pPr>
              <w:pStyle w:val="ppTableText"/>
            </w:pPr>
            <w:r>
              <w:t>New-Entity</w:t>
            </w:r>
          </w:p>
        </w:tc>
        <w:tc>
          <w:tcPr>
            <w:tcW w:w="3915" w:type="pct"/>
          </w:tcPr>
          <w:p w:rsidR="00566363" w:rsidRPr="0031048E" w:rsidRDefault="008101F3" w:rsidP="00CA2DC9">
            <w:pPr>
              <w:pStyle w:val="ppTableText"/>
              <w:rPr>
                <w:rFonts w:eastAsia="Arial Unicode MS"/>
              </w:rPr>
            </w:pPr>
            <w:r>
              <w:rPr>
                <w:rFonts w:eastAsia="Arial Unicode MS"/>
              </w:rPr>
              <w:t>Creates a new SQL Data Services entity in the specified container</w:t>
            </w:r>
          </w:p>
        </w:tc>
      </w:tr>
      <w:tr w:rsidR="00566363" w:rsidTr="00E400F9">
        <w:tc>
          <w:tcPr>
            <w:tcW w:w="1085" w:type="pct"/>
          </w:tcPr>
          <w:p w:rsidR="00566363" w:rsidRDefault="00566363" w:rsidP="00566363">
            <w:pPr>
              <w:pStyle w:val="ppTableText"/>
            </w:pPr>
            <w:r>
              <w:lastRenderedPageBreak/>
              <w:t>Remove-Container</w:t>
            </w:r>
          </w:p>
        </w:tc>
        <w:tc>
          <w:tcPr>
            <w:tcW w:w="3915" w:type="pct"/>
          </w:tcPr>
          <w:p w:rsidR="00566363" w:rsidRPr="0031048E" w:rsidRDefault="008101F3" w:rsidP="00CA2DC9">
            <w:pPr>
              <w:pStyle w:val="ppTableText"/>
              <w:rPr>
                <w:rFonts w:eastAsia="Arial Unicode MS"/>
              </w:rPr>
            </w:pPr>
            <w:r>
              <w:rPr>
                <w:rFonts w:eastAsia="Arial Unicode MS"/>
              </w:rPr>
              <w:t>Deletes the specified SQL Data Services container</w:t>
            </w:r>
          </w:p>
        </w:tc>
      </w:tr>
    </w:tbl>
    <w:p w:rsidR="006B40C4" w:rsidRPr="000E4CC2" w:rsidRDefault="006B40C4" w:rsidP="006B40C4">
      <w:pPr>
        <w:pStyle w:val="ppBodyText"/>
      </w:pPr>
    </w:p>
    <w:p w:rsidR="008101F3" w:rsidRPr="008101F3" w:rsidRDefault="00E400F9" w:rsidP="008101F3">
      <w:pPr>
        <w:pStyle w:val="ppBodyText"/>
        <w:numPr>
          <w:ilvl w:val="0"/>
          <w:numId w:val="0"/>
        </w:numPr>
        <w:rPr>
          <w:b/>
        </w:rPr>
      </w:pPr>
      <w:r>
        <w:rPr>
          <w:b/>
        </w:rPr>
        <w:t>.NET Workflow</w:t>
      </w:r>
      <w:r w:rsidR="008101F3" w:rsidRPr="008101F3">
        <w:rPr>
          <w:b/>
        </w:rPr>
        <w:t xml:space="preserve"> Service cmdlets</w:t>
      </w:r>
    </w:p>
    <w:tbl>
      <w:tblPr>
        <w:tblStyle w:val="ppTableGrid"/>
        <w:tblW w:w="4573" w:type="pct"/>
        <w:tblInd w:w="817" w:type="dxa"/>
        <w:tblLook w:val="04A0"/>
      </w:tblPr>
      <w:tblGrid>
        <w:gridCol w:w="1927"/>
        <w:gridCol w:w="6831"/>
      </w:tblGrid>
      <w:tr w:rsidR="008101F3" w:rsidTr="00E400F9">
        <w:trPr>
          <w:cnfStyle w:val="100000000000"/>
        </w:trPr>
        <w:tc>
          <w:tcPr>
            <w:tcW w:w="1100" w:type="pct"/>
          </w:tcPr>
          <w:p w:rsidR="008101F3" w:rsidRDefault="008101F3" w:rsidP="00CA2DC9">
            <w:pPr>
              <w:pStyle w:val="ppTableText"/>
            </w:pPr>
            <w:r>
              <w:t>Name</w:t>
            </w:r>
          </w:p>
        </w:tc>
        <w:tc>
          <w:tcPr>
            <w:tcW w:w="3900" w:type="pct"/>
          </w:tcPr>
          <w:p w:rsidR="008101F3" w:rsidRDefault="008101F3" w:rsidP="00CA2DC9">
            <w:pPr>
              <w:pStyle w:val="ppTableText"/>
            </w:pPr>
            <w:r>
              <w:t>Description</w:t>
            </w:r>
          </w:p>
        </w:tc>
      </w:tr>
      <w:tr w:rsidR="008101F3" w:rsidTr="00E400F9">
        <w:tc>
          <w:tcPr>
            <w:tcW w:w="1100" w:type="pct"/>
          </w:tcPr>
          <w:p w:rsidR="008101F3" w:rsidRDefault="00E400F9" w:rsidP="00CA2DC9">
            <w:pPr>
              <w:pStyle w:val="ppTableText"/>
            </w:pPr>
            <w:r>
              <w:t>Get-WorkflowType</w:t>
            </w:r>
          </w:p>
        </w:tc>
        <w:tc>
          <w:tcPr>
            <w:tcW w:w="3900" w:type="pct"/>
          </w:tcPr>
          <w:p w:rsidR="008101F3" w:rsidRDefault="008101F3" w:rsidP="00E400F9">
            <w:pPr>
              <w:pStyle w:val="ppTableText"/>
            </w:pPr>
            <w:r>
              <w:t xml:space="preserve">Returns the list of </w:t>
            </w:r>
            <w:r w:rsidR="00E400F9">
              <w:t>workflow types that have been deployed to.NET Workflow Services</w:t>
            </w:r>
            <w:r w:rsidR="00E400F9">
              <w:rPr>
                <w:rFonts w:eastAsia="Arial Unicode MS"/>
              </w:rPr>
              <w:t xml:space="preserve"> for your services account.</w:t>
            </w:r>
          </w:p>
        </w:tc>
      </w:tr>
      <w:tr w:rsidR="008101F3" w:rsidTr="00E400F9">
        <w:tc>
          <w:tcPr>
            <w:tcW w:w="1100" w:type="pct"/>
          </w:tcPr>
          <w:p w:rsidR="008101F3" w:rsidRDefault="00E400F9" w:rsidP="00E400F9">
            <w:pPr>
              <w:pStyle w:val="ppTableText"/>
            </w:pPr>
            <w:r>
              <w:t>Get-WorkflowTypeNames</w:t>
            </w:r>
          </w:p>
        </w:tc>
        <w:tc>
          <w:tcPr>
            <w:tcW w:w="3900" w:type="pct"/>
          </w:tcPr>
          <w:p w:rsidR="008101F3" w:rsidRPr="0031048E" w:rsidRDefault="00E400F9" w:rsidP="001215DE">
            <w:pPr>
              <w:pStyle w:val="ppTableText"/>
              <w:rPr>
                <w:rFonts w:eastAsia="Arial Unicode MS"/>
              </w:rPr>
            </w:pPr>
            <w:r>
              <w:rPr>
                <w:rFonts w:eastAsia="Arial Unicode MS"/>
              </w:rPr>
              <w:t>Returns a list of the workflow type names that have been deployed to .NET Workflow Service for your services account.</w:t>
            </w:r>
          </w:p>
        </w:tc>
      </w:tr>
      <w:tr w:rsidR="008101F3" w:rsidTr="00E400F9">
        <w:tc>
          <w:tcPr>
            <w:tcW w:w="1100" w:type="pct"/>
          </w:tcPr>
          <w:p w:rsidR="008101F3" w:rsidRDefault="00E400F9" w:rsidP="00E400F9">
            <w:pPr>
              <w:pStyle w:val="ppTableText"/>
            </w:pPr>
            <w:r>
              <w:t>New-WorkflowType</w:t>
            </w:r>
          </w:p>
        </w:tc>
        <w:tc>
          <w:tcPr>
            <w:tcW w:w="3900" w:type="pct"/>
          </w:tcPr>
          <w:p w:rsidR="008101F3" w:rsidRPr="0031048E" w:rsidRDefault="00E400F9" w:rsidP="001215DE">
            <w:pPr>
              <w:pStyle w:val="ppTableText"/>
              <w:rPr>
                <w:rFonts w:eastAsia="Arial Unicode MS"/>
              </w:rPr>
            </w:pPr>
            <w:r>
              <w:rPr>
                <w:rFonts w:eastAsia="Arial Unicode MS"/>
              </w:rPr>
              <w:t>Deploys a new workflow model (.xoml file) and it’s associated rules (.rules file) to .NET Workflow Service and creates a new workflow type.</w:t>
            </w:r>
          </w:p>
        </w:tc>
      </w:tr>
      <w:tr w:rsidR="008101F3" w:rsidTr="00E400F9">
        <w:tc>
          <w:tcPr>
            <w:tcW w:w="1100" w:type="pct"/>
          </w:tcPr>
          <w:p w:rsidR="008101F3" w:rsidRDefault="00E400F9" w:rsidP="00E400F9">
            <w:pPr>
              <w:pStyle w:val="ppTableText"/>
            </w:pPr>
            <w:r>
              <w:t>Remove-WorkflowInstances</w:t>
            </w:r>
          </w:p>
        </w:tc>
        <w:tc>
          <w:tcPr>
            <w:tcW w:w="3900" w:type="pct"/>
          </w:tcPr>
          <w:p w:rsidR="008101F3" w:rsidRPr="0031048E" w:rsidRDefault="00E400F9" w:rsidP="00CA2DC9">
            <w:pPr>
              <w:pStyle w:val="ppTableText"/>
              <w:rPr>
                <w:rFonts w:eastAsia="Arial Unicode MS"/>
              </w:rPr>
            </w:pPr>
            <w:r>
              <w:rPr>
                <w:rFonts w:eastAsia="Arial Unicode MS"/>
              </w:rPr>
              <w:t>Terminates the running workflow instances for a specific workflow type</w:t>
            </w:r>
          </w:p>
        </w:tc>
      </w:tr>
      <w:tr w:rsidR="008101F3" w:rsidTr="00E400F9">
        <w:tc>
          <w:tcPr>
            <w:tcW w:w="1100" w:type="pct"/>
          </w:tcPr>
          <w:p w:rsidR="008101F3" w:rsidRDefault="00E400F9" w:rsidP="00E400F9">
            <w:pPr>
              <w:pStyle w:val="ppTableText"/>
            </w:pPr>
            <w:r>
              <w:t>Remove-WorkflowType</w:t>
            </w:r>
          </w:p>
        </w:tc>
        <w:tc>
          <w:tcPr>
            <w:tcW w:w="3900" w:type="pct"/>
          </w:tcPr>
          <w:p w:rsidR="008101F3" w:rsidRPr="0031048E" w:rsidRDefault="00E400F9" w:rsidP="001215DE">
            <w:pPr>
              <w:pStyle w:val="ppTableText"/>
              <w:rPr>
                <w:rFonts w:eastAsia="Arial Unicode MS"/>
              </w:rPr>
            </w:pPr>
            <w:r>
              <w:rPr>
                <w:rFonts w:eastAsia="Arial Unicode MS"/>
              </w:rPr>
              <w:t>Un-deploys a workflow from .NET Workflow Service for your service account</w:t>
            </w:r>
          </w:p>
        </w:tc>
      </w:tr>
      <w:tr w:rsidR="008101F3" w:rsidTr="00E400F9">
        <w:tc>
          <w:tcPr>
            <w:tcW w:w="1100" w:type="pct"/>
          </w:tcPr>
          <w:p w:rsidR="008101F3" w:rsidRDefault="00E400F9" w:rsidP="00CA2DC9">
            <w:pPr>
              <w:pStyle w:val="ppTableText"/>
            </w:pPr>
            <w:r>
              <w:t>Update-WorkflowType</w:t>
            </w:r>
          </w:p>
        </w:tc>
        <w:tc>
          <w:tcPr>
            <w:tcW w:w="3900" w:type="pct"/>
          </w:tcPr>
          <w:p w:rsidR="008101F3" w:rsidRPr="0031048E" w:rsidRDefault="00E400F9" w:rsidP="00CA2DC9">
            <w:pPr>
              <w:pStyle w:val="ppTableText"/>
              <w:rPr>
                <w:rFonts w:eastAsia="Arial Unicode MS"/>
              </w:rPr>
            </w:pPr>
            <w:r>
              <w:rPr>
                <w:rFonts w:eastAsia="Arial Unicode MS"/>
              </w:rPr>
              <w:t>Deploys a new version of a workflow model and associated</w:t>
            </w:r>
            <w:r w:rsidR="001215DE">
              <w:rPr>
                <w:rFonts w:eastAsia="Arial Unicode MS"/>
              </w:rPr>
              <w:t xml:space="preserve"> rules to .NET Workflow Service</w:t>
            </w:r>
            <w:r>
              <w:rPr>
                <w:rFonts w:eastAsia="Arial Unicode MS"/>
              </w:rPr>
              <w:t xml:space="preserve"> for your service account.</w:t>
            </w:r>
          </w:p>
        </w:tc>
      </w:tr>
    </w:tbl>
    <w:p w:rsidR="008101F3" w:rsidRPr="000E4CC2" w:rsidRDefault="008101F3" w:rsidP="008101F3">
      <w:pPr>
        <w:pStyle w:val="ppBodyText"/>
      </w:pPr>
    </w:p>
    <w:p w:rsidR="00E400F9" w:rsidRPr="008101F3" w:rsidRDefault="00E400F9" w:rsidP="00E400F9">
      <w:pPr>
        <w:pStyle w:val="ppBodyText"/>
        <w:numPr>
          <w:ilvl w:val="0"/>
          <w:numId w:val="0"/>
        </w:numPr>
        <w:rPr>
          <w:b/>
        </w:rPr>
      </w:pPr>
      <w:r>
        <w:rPr>
          <w:b/>
        </w:rPr>
        <w:t>.NET Access Control</w:t>
      </w:r>
      <w:r w:rsidRPr="008101F3">
        <w:rPr>
          <w:b/>
        </w:rPr>
        <w:t xml:space="preserve"> Service cmdlets</w:t>
      </w:r>
    </w:p>
    <w:tbl>
      <w:tblPr>
        <w:tblStyle w:val="ppTableGrid"/>
        <w:tblW w:w="4573" w:type="pct"/>
        <w:tblInd w:w="817" w:type="dxa"/>
        <w:tblLook w:val="04A0"/>
      </w:tblPr>
      <w:tblGrid>
        <w:gridCol w:w="1927"/>
        <w:gridCol w:w="6831"/>
      </w:tblGrid>
      <w:tr w:rsidR="00E400F9" w:rsidTr="00CA2DC9">
        <w:trPr>
          <w:cnfStyle w:val="100000000000"/>
        </w:trPr>
        <w:tc>
          <w:tcPr>
            <w:tcW w:w="1100" w:type="pct"/>
          </w:tcPr>
          <w:p w:rsidR="00E400F9" w:rsidRDefault="00E400F9" w:rsidP="00CA2DC9">
            <w:pPr>
              <w:pStyle w:val="ppTableText"/>
            </w:pPr>
            <w:r>
              <w:t>Name</w:t>
            </w:r>
          </w:p>
        </w:tc>
        <w:tc>
          <w:tcPr>
            <w:tcW w:w="3900" w:type="pct"/>
          </w:tcPr>
          <w:p w:rsidR="00E400F9" w:rsidRDefault="00E400F9" w:rsidP="00CA2DC9">
            <w:pPr>
              <w:pStyle w:val="ppTableText"/>
            </w:pPr>
            <w:r>
              <w:t>Description</w:t>
            </w:r>
          </w:p>
        </w:tc>
      </w:tr>
      <w:tr w:rsidR="00E400F9" w:rsidTr="00CA2DC9">
        <w:tc>
          <w:tcPr>
            <w:tcW w:w="1100" w:type="pct"/>
          </w:tcPr>
          <w:p w:rsidR="00E400F9" w:rsidRDefault="00E400F9" w:rsidP="00E400F9">
            <w:pPr>
              <w:pStyle w:val="ppTableText"/>
            </w:pPr>
            <w:r>
              <w:t>Get-ClaimTypes</w:t>
            </w:r>
          </w:p>
        </w:tc>
        <w:tc>
          <w:tcPr>
            <w:tcW w:w="3900" w:type="pct"/>
          </w:tcPr>
          <w:p w:rsidR="00E400F9" w:rsidRDefault="00E400F9" w:rsidP="00CA2DC9">
            <w:pPr>
              <w:pStyle w:val="ppTableText"/>
            </w:pPr>
            <w:r>
              <w:t>Returns the list of claim types configured in the .NET Access Control Service for your service account</w:t>
            </w:r>
          </w:p>
        </w:tc>
      </w:tr>
      <w:tr w:rsidR="00E400F9" w:rsidTr="00CA2DC9">
        <w:tc>
          <w:tcPr>
            <w:tcW w:w="1100" w:type="pct"/>
          </w:tcPr>
          <w:p w:rsidR="00E400F9" w:rsidRDefault="00E400F9" w:rsidP="00E400F9">
            <w:pPr>
              <w:pStyle w:val="ppTableText"/>
            </w:pPr>
            <w:r>
              <w:t>Get-Issuers</w:t>
            </w:r>
          </w:p>
        </w:tc>
        <w:tc>
          <w:tcPr>
            <w:tcW w:w="3900" w:type="pct"/>
          </w:tcPr>
          <w:p w:rsidR="00E400F9" w:rsidRPr="0031048E" w:rsidRDefault="00E400F9" w:rsidP="000132B7">
            <w:pPr>
              <w:pStyle w:val="ppTableText"/>
              <w:rPr>
                <w:rFonts w:eastAsia="Arial Unicode MS"/>
              </w:rPr>
            </w:pPr>
            <w:r>
              <w:t xml:space="preserve">Returns the list of </w:t>
            </w:r>
            <w:r w:rsidR="000132B7">
              <w:t>issuers</w:t>
            </w:r>
            <w:r>
              <w:t xml:space="preserve"> configured in the .NET Access Control Service for your service account</w:t>
            </w:r>
          </w:p>
        </w:tc>
      </w:tr>
      <w:tr w:rsidR="00E400F9" w:rsidTr="00CA2DC9">
        <w:tc>
          <w:tcPr>
            <w:tcW w:w="1100" w:type="pct"/>
          </w:tcPr>
          <w:p w:rsidR="00E400F9" w:rsidRDefault="000132B7" w:rsidP="000132B7">
            <w:pPr>
              <w:pStyle w:val="ppTableText"/>
            </w:pPr>
            <w:r>
              <w:t>Get-RP</w:t>
            </w:r>
          </w:p>
        </w:tc>
        <w:tc>
          <w:tcPr>
            <w:tcW w:w="3900" w:type="pct"/>
          </w:tcPr>
          <w:p w:rsidR="00E400F9" w:rsidRPr="0031048E" w:rsidRDefault="005E0AEF" w:rsidP="00CA2DC9">
            <w:pPr>
              <w:pStyle w:val="ppTableText"/>
              <w:rPr>
                <w:rFonts w:eastAsia="Arial Unicode MS"/>
              </w:rPr>
            </w:pPr>
            <w:r w:rsidRPr="005E0AEF">
              <w:rPr>
                <w:rFonts w:eastAsia="Arial Unicode MS"/>
              </w:rPr>
              <w:t>Returns the encryption certificate associated to a scope</w:t>
            </w:r>
          </w:p>
        </w:tc>
      </w:tr>
      <w:tr w:rsidR="00E400F9" w:rsidTr="00CA2DC9">
        <w:tc>
          <w:tcPr>
            <w:tcW w:w="1100" w:type="pct"/>
          </w:tcPr>
          <w:p w:rsidR="00E400F9" w:rsidRDefault="000132B7" w:rsidP="000132B7">
            <w:pPr>
              <w:pStyle w:val="ppTableText"/>
            </w:pPr>
            <w:r>
              <w:t>Get-Rules</w:t>
            </w:r>
          </w:p>
        </w:tc>
        <w:tc>
          <w:tcPr>
            <w:tcW w:w="3900" w:type="pct"/>
          </w:tcPr>
          <w:p w:rsidR="00E400F9" w:rsidRPr="0031048E" w:rsidRDefault="000132B7" w:rsidP="000132B7">
            <w:pPr>
              <w:pStyle w:val="ppTableText"/>
              <w:rPr>
                <w:rFonts w:eastAsia="Arial Unicode MS"/>
              </w:rPr>
            </w:pPr>
            <w:r>
              <w:t xml:space="preserve">Returns the list of access rules configured for a specific scope </w:t>
            </w:r>
          </w:p>
        </w:tc>
      </w:tr>
      <w:tr w:rsidR="00E400F9" w:rsidTr="00CA2DC9">
        <w:tc>
          <w:tcPr>
            <w:tcW w:w="1100" w:type="pct"/>
          </w:tcPr>
          <w:p w:rsidR="00E400F9" w:rsidRDefault="000132B7" w:rsidP="000132B7">
            <w:pPr>
              <w:pStyle w:val="ppTableText"/>
            </w:pPr>
            <w:r>
              <w:t>Get-Scopes</w:t>
            </w:r>
          </w:p>
        </w:tc>
        <w:tc>
          <w:tcPr>
            <w:tcW w:w="3900" w:type="pct"/>
          </w:tcPr>
          <w:p w:rsidR="00E400F9" w:rsidRPr="0031048E" w:rsidRDefault="000132B7" w:rsidP="000132B7">
            <w:pPr>
              <w:pStyle w:val="ppTableText"/>
              <w:rPr>
                <w:rFonts w:eastAsia="Arial Unicode MS"/>
              </w:rPr>
            </w:pPr>
            <w:r>
              <w:t>Returns the list of scopes configured in the .NET Access Control Service for your service account</w:t>
            </w:r>
          </w:p>
        </w:tc>
      </w:tr>
      <w:tr w:rsidR="00E400F9" w:rsidTr="00CA2DC9">
        <w:tc>
          <w:tcPr>
            <w:tcW w:w="1100" w:type="pct"/>
          </w:tcPr>
          <w:p w:rsidR="00E400F9" w:rsidRDefault="000132B7" w:rsidP="000132B7">
            <w:pPr>
              <w:pStyle w:val="ppTableText"/>
            </w:pPr>
            <w:r>
              <w:t>Get-Credentials</w:t>
            </w:r>
          </w:p>
        </w:tc>
        <w:tc>
          <w:tcPr>
            <w:tcW w:w="3900" w:type="pct"/>
          </w:tcPr>
          <w:p w:rsidR="00E400F9" w:rsidRPr="0031048E" w:rsidRDefault="005E0AEF" w:rsidP="005E0AEF">
            <w:pPr>
              <w:pStyle w:val="ppTableText"/>
              <w:rPr>
                <w:rFonts w:eastAsia="Arial Unicode MS"/>
              </w:rPr>
            </w:pPr>
            <w:r>
              <w:rPr>
                <w:rFonts w:eastAsia="Arial Unicode MS"/>
              </w:rPr>
              <w:t>Provides a credential object you can use for calling the other Access Control cmdlets.</w:t>
            </w:r>
          </w:p>
        </w:tc>
      </w:tr>
      <w:tr w:rsidR="000132B7" w:rsidTr="00CA2DC9">
        <w:tc>
          <w:tcPr>
            <w:tcW w:w="1100" w:type="pct"/>
          </w:tcPr>
          <w:p w:rsidR="000132B7" w:rsidRDefault="000132B7" w:rsidP="000132B7">
            <w:pPr>
              <w:pStyle w:val="ppTableText"/>
            </w:pPr>
            <w:r>
              <w:t>Remove-ClaimType</w:t>
            </w:r>
          </w:p>
        </w:tc>
        <w:tc>
          <w:tcPr>
            <w:tcW w:w="3900" w:type="pct"/>
          </w:tcPr>
          <w:p w:rsidR="000132B7" w:rsidRPr="0031048E" w:rsidRDefault="000132B7" w:rsidP="000132B7">
            <w:pPr>
              <w:pStyle w:val="ppTableText"/>
              <w:rPr>
                <w:rFonts w:eastAsia="Arial Unicode MS"/>
              </w:rPr>
            </w:pPr>
            <w:r>
              <w:rPr>
                <w:rFonts w:eastAsia="Arial Unicode MS"/>
              </w:rPr>
              <w:t xml:space="preserve">Removes a </w:t>
            </w:r>
            <w:r>
              <w:t>claim type from the .NET Access Control Service your service account</w:t>
            </w:r>
          </w:p>
        </w:tc>
      </w:tr>
      <w:tr w:rsidR="000132B7" w:rsidTr="00CA2DC9">
        <w:tc>
          <w:tcPr>
            <w:tcW w:w="1100" w:type="pct"/>
          </w:tcPr>
          <w:p w:rsidR="000132B7" w:rsidRDefault="000132B7" w:rsidP="000132B7">
            <w:pPr>
              <w:pStyle w:val="ppTableText"/>
            </w:pPr>
            <w:r>
              <w:t>Remove-Issuer</w:t>
            </w:r>
          </w:p>
        </w:tc>
        <w:tc>
          <w:tcPr>
            <w:tcW w:w="3900" w:type="pct"/>
          </w:tcPr>
          <w:p w:rsidR="000132B7" w:rsidRPr="0031048E" w:rsidRDefault="005E0AEF" w:rsidP="00CA2DC9">
            <w:pPr>
              <w:pStyle w:val="ppTableText"/>
              <w:rPr>
                <w:rFonts w:eastAsia="Arial Unicode MS"/>
              </w:rPr>
            </w:pPr>
            <w:r>
              <w:rPr>
                <w:rFonts w:ascii="Tahoma" w:hAnsi="Tahoma" w:cs="Tahoma"/>
                <w:sz w:val="20"/>
              </w:rPr>
              <w:t>Removes a custom issuer previously defined in a given scope</w:t>
            </w:r>
          </w:p>
        </w:tc>
      </w:tr>
      <w:tr w:rsidR="000132B7" w:rsidTr="00CA2DC9">
        <w:tc>
          <w:tcPr>
            <w:tcW w:w="1100" w:type="pct"/>
          </w:tcPr>
          <w:p w:rsidR="000132B7" w:rsidRDefault="000132B7" w:rsidP="000132B7">
            <w:pPr>
              <w:pStyle w:val="ppTableText"/>
            </w:pPr>
            <w:r>
              <w:t>Remove-Rule</w:t>
            </w:r>
          </w:p>
        </w:tc>
        <w:tc>
          <w:tcPr>
            <w:tcW w:w="3900" w:type="pct"/>
          </w:tcPr>
          <w:p w:rsidR="000132B7" w:rsidRPr="0031048E" w:rsidRDefault="000132B7" w:rsidP="00CA2DC9">
            <w:pPr>
              <w:pStyle w:val="ppTableText"/>
              <w:rPr>
                <w:rFonts w:eastAsia="Arial Unicode MS"/>
              </w:rPr>
            </w:pPr>
            <w:r>
              <w:rPr>
                <w:rFonts w:eastAsia="Arial Unicode MS"/>
              </w:rPr>
              <w:t>Removes an access rule from the specified scope</w:t>
            </w:r>
          </w:p>
        </w:tc>
      </w:tr>
      <w:tr w:rsidR="000132B7" w:rsidTr="00CA2DC9">
        <w:tc>
          <w:tcPr>
            <w:tcW w:w="1100" w:type="pct"/>
          </w:tcPr>
          <w:p w:rsidR="000132B7" w:rsidRDefault="000132B7" w:rsidP="000132B7">
            <w:pPr>
              <w:pStyle w:val="ppTableText"/>
            </w:pPr>
            <w:r>
              <w:t>Remove-Scope</w:t>
            </w:r>
          </w:p>
        </w:tc>
        <w:tc>
          <w:tcPr>
            <w:tcW w:w="3900" w:type="pct"/>
          </w:tcPr>
          <w:p w:rsidR="000132B7" w:rsidRPr="0031048E" w:rsidRDefault="000132B7" w:rsidP="00CA2DC9">
            <w:pPr>
              <w:pStyle w:val="ppTableText"/>
              <w:rPr>
                <w:rFonts w:eastAsia="Arial Unicode MS"/>
              </w:rPr>
            </w:pPr>
            <w:r>
              <w:rPr>
                <w:rFonts w:eastAsia="Arial Unicode MS"/>
              </w:rPr>
              <w:t>Removes a scope from the .NET Access Control Service for your service account</w:t>
            </w:r>
          </w:p>
        </w:tc>
      </w:tr>
      <w:tr w:rsidR="000132B7" w:rsidTr="00CA2DC9">
        <w:tc>
          <w:tcPr>
            <w:tcW w:w="1100" w:type="pct"/>
          </w:tcPr>
          <w:p w:rsidR="000132B7" w:rsidRDefault="000132B7" w:rsidP="000132B7">
            <w:pPr>
              <w:pStyle w:val="ppTableText"/>
            </w:pPr>
            <w:r>
              <w:t>Set-ClaimType</w:t>
            </w:r>
          </w:p>
        </w:tc>
        <w:tc>
          <w:tcPr>
            <w:tcW w:w="3900" w:type="pct"/>
          </w:tcPr>
          <w:p w:rsidR="000132B7" w:rsidRPr="0031048E" w:rsidRDefault="000132B7" w:rsidP="000132B7">
            <w:pPr>
              <w:pStyle w:val="ppTableText"/>
              <w:rPr>
                <w:rFonts w:eastAsia="Arial Unicode MS"/>
              </w:rPr>
            </w:pPr>
            <w:r>
              <w:rPr>
                <w:rFonts w:eastAsia="Arial Unicode MS"/>
              </w:rPr>
              <w:t xml:space="preserve">Creates a new </w:t>
            </w:r>
            <w:r>
              <w:t>claim type in the .NET Access Control Service your service account</w:t>
            </w:r>
          </w:p>
        </w:tc>
      </w:tr>
    </w:tbl>
    <w:p w:rsidR="00E400F9" w:rsidRPr="000E4CC2" w:rsidRDefault="00E400F9" w:rsidP="00E400F9">
      <w:pPr>
        <w:pStyle w:val="ppBodyText"/>
      </w:pPr>
    </w:p>
    <w:p w:rsidR="008101F3" w:rsidRPr="000E4CC2" w:rsidRDefault="008101F3" w:rsidP="008101F3">
      <w:pPr>
        <w:pStyle w:val="ppBodyText"/>
        <w:numPr>
          <w:ilvl w:val="0"/>
          <w:numId w:val="0"/>
        </w:numPr>
      </w:pPr>
    </w:p>
    <w:p w:rsidR="006B40C4" w:rsidRDefault="006B40C4" w:rsidP="006B40C4">
      <w:pPr>
        <w:pStyle w:val="ppProcedureStart"/>
      </w:pPr>
      <w:bookmarkStart w:id="11" w:name="_Toc212789455"/>
      <w:r>
        <w:t>Task 1 – Using the SQL Data Services cmdlets</w:t>
      </w:r>
      <w:bookmarkEnd w:id="11"/>
    </w:p>
    <w:p w:rsidR="006B40C4" w:rsidRDefault="006B40C4" w:rsidP="006B40C4">
      <w:pPr>
        <w:pStyle w:val="ppBodyText"/>
      </w:pPr>
      <w:r>
        <w:t xml:space="preserve">In this task, you will see how to use a few of the PowerShell cmdlets for accessing and managing SQL Data Services.   </w:t>
      </w:r>
    </w:p>
    <w:p w:rsidR="006B40C4" w:rsidRPr="00C81266" w:rsidRDefault="006B40C4" w:rsidP="006B40C4">
      <w:pPr>
        <w:pStyle w:val="ppBodyText"/>
      </w:pPr>
    </w:p>
    <w:p w:rsidR="006B40C4" w:rsidRDefault="006B40C4" w:rsidP="006B40C4">
      <w:pPr>
        <w:pStyle w:val="ppNumberList"/>
        <w:numPr>
          <w:ilvl w:val="1"/>
          <w:numId w:val="12"/>
        </w:numPr>
        <w:ind w:left="754" w:hanging="357"/>
      </w:pPr>
      <w:r>
        <w:t xml:space="preserve">First, start Powershell if it is not already running by selecting </w:t>
      </w:r>
      <w:r w:rsidRPr="00DF375F">
        <w:rPr>
          <w:b/>
        </w:rPr>
        <w:t>Windows Powershell</w:t>
      </w:r>
      <w:r>
        <w:t xml:space="preserve"> from the start menu.  </w:t>
      </w:r>
    </w:p>
    <w:p w:rsidR="006B40C4" w:rsidRDefault="006B40C4" w:rsidP="006B40C4">
      <w:pPr>
        <w:pStyle w:val="ppNumberList"/>
        <w:numPr>
          <w:ilvl w:val="1"/>
          <w:numId w:val="12"/>
        </w:numPr>
        <w:ind w:left="754" w:hanging="357"/>
      </w:pPr>
      <w:r>
        <w:t>Within the Windows PowerShell command prompt, enter the following command to add the Azure Services Management cmdlets to the console’s scope:</w:t>
      </w:r>
    </w:p>
    <w:p w:rsidR="006B40C4" w:rsidRDefault="006B40C4" w:rsidP="006B40C4">
      <w:pPr>
        <w:pStyle w:val="ppCodeLanguageIndent"/>
      </w:pPr>
      <w:r>
        <w:t>Command</w:t>
      </w:r>
    </w:p>
    <w:p w:rsidR="006B40C4" w:rsidRDefault="006B40C4" w:rsidP="006B40C4">
      <w:pPr>
        <w:pStyle w:val="ppCodeIndent"/>
      </w:pPr>
      <w:r>
        <w:t>add-PSSnapin AzureServicesManagement</w:t>
      </w:r>
    </w:p>
    <w:p w:rsidR="006B40C4" w:rsidRDefault="006B40C4" w:rsidP="006B40C4">
      <w:pPr>
        <w:pStyle w:val="ppBodyText"/>
        <w:numPr>
          <w:ilvl w:val="0"/>
          <w:numId w:val="0"/>
        </w:numPr>
      </w:pPr>
    </w:p>
    <w:p w:rsidR="006B40C4" w:rsidRDefault="006B40C4" w:rsidP="006B40C4">
      <w:pPr>
        <w:pStyle w:val="ppNumberList"/>
        <w:numPr>
          <w:ilvl w:val="1"/>
          <w:numId w:val="12"/>
        </w:numPr>
        <w:ind w:left="754" w:hanging="357"/>
      </w:pPr>
      <w:r>
        <w:t xml:space="preserve">Now let’s get the list of SQL Data Services Authorities that are configured for your Solution Account.   Run the following command in Windows Powershell.  Substitute the username and password with your .NET &amp; SQL Services solution account name and password. </w:t>
      </w:r>
    </w:p>
    <w:p w:rsidR="006B40C4" w:rsidRDefault="006B40C4" w:rsidP="006B40C4">
      <w:pPr>
        <w:pStyle w:val="ppCodeLanguageIndent"/>
      </w:pPr>
      <w:r>
        <w:t>Command</w:t>
      </w:r>
    </w:p>
    <w:p w:rsidR="006B40C4" w:rsidRDefault="006B40C4" w:rsidP="006B40C4">
      <w:pPr>
        <w:pStyle w:val="ppCodeIndent"/>
      </w:pPr>
      <w:r>
        <w:t>get-Authorities –Username %SolutionName% -Password %SolutionPassword%</w:t>
      </w:r>
    </w:p>
    <w:p w:rsidR="006B40C4" w:rsidRDefault="006B40C4" w:rsidP="006B40C4">
      <w:pPr>
        <w:pStyle w:val="ppBodyText"/>
        <w:numPr>
          <w:ilvl w:val="0"/>
          <w:numId w:val="0"/>
        </w:numPr>
      </w:pPr>
    </w:p>
    <w:p w:rsidR="006B40C4" w:rsidRDefault="006B40C4" w:rsidP="006B40C4">
      <w:pPr>
        <w:pStyle w:val="ppNumberList"/>
        <w:numPr>
          <w:ilvl w:val="1"/>
          <w:numId w:val="12"/>
        </w:numPr>
        <w:ind w:left="754" w:hanging="357"/>
      </w:pPr>
      <w:r>
        <w:t xml:space="preserve">You should see the list of authorities displayed in the console window.  </w:t>
      </w:r>
    </w:p>
    <w:p w:rsidR="006B40C4" w:rsidRDefault="006B40C4" w:rsidP="006B40C4">
      <w:pPr>
        <w:pStyle w:val="ppFigureIndent"/>
      </w:pPr>
      <w:r>
        <w:rPr>
          <w:noProof/>
          <w:lang w:bidi="ar-SA"/>
        </w:rPr>
        <w:drawing>
          <wp:inline distT="0" distB="0" distL="0" distR="0">
            <wp:extent cx="5943600" cy="208026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5943600" cy="2080260"/>
                    </a:xfrm>
                    <a:prstGeom prst="rect">
                      <a:avLst/>
                    </a:prstGeom>
                    <a:noFill/>
                    <a:ln w="9525">
                      <a:noFill/>
                      <a:miter lim="800000"/>
                      <a:headEnd/>
                      <a:tailEnd/>
                    </a:ln>
                  </pic:spPr>
                </pic:pic>
              </a:graphicData>
            </a:graphic>
          </wp:inline>
        </w:drawing>
      </w:r>
    </w:p>
    <w:p w:rsidR="006B40C4" w:rsidRDefault="006B40C4" w:rsidP="006B40C4">
      <w:pPr>
        <w:pStyle w:val="ppListEnd"/>
      </w:pPr>
    </w:p>
    <w:p w:rsidR="006B40C4" w:rsidRDefault="006B40C4" w:rsidP="006B40C4">
      <w:pPr>
        <w:pStyle w:val="ppBodyText"/>
        <w:numPr>
          <w:ilvl w:val="0"/>
          <w:numId w:val="0"/>
        </w:numPr>
      </w:pPr>
    </w:p>
    <w:p w:rsidR="0025553B" w:rsidRDefault="0025553B" w:rsidP="0025553B">
      <w:pPr>
        <w:pStyle w:val="ppProcedureStart"/>
      </w:pPr>
      <w:bookmarkStart w:id="12" w:name="_Toc212789456"/>
      <w:r>
        <w:t>Task 2 – Using the .NET Workflow Services cmdlets</w:t>
      </w:r>
      <w:bookmarkEnd w:id="12"/>
    </w:p>
    <w:p w:rsidR="0025553B" w:rsidRPr="00C81266" w:rsidRDefault="0025553B" w:rsidP="0025553B">
      <w:pPr>
        <w:pStyle w:val="ppBodyText"/>
      </w:pPr>
      <w:r>
        <w:t xml:space="preserve">In this task, you will see a few examples demonstrating how to use the PowerShell cmdlets for accessing and managing .NET Workflow Services.  </w:t>
      </w:r>
    </w:p>
    <w:p w:rsidR="0025553B" w:rsidRDefault="0025553B" w:rsidP="0025553B">
      <w:pPr>
        <w:pStyle w:val="ppNumberList"/>
        <w:numPr>
          <w:ilvl w:val="1"/>
          <w:numId w:val="12"/>
        </w:numPr>
        <w:ind w:left="754" w:hanging="357"/>
      </w:pPr>
      <w:r>
        <w:lastRenderedPageBreak/>
        <w:t xml:space="preserve">First, start Powershell if it is not already running by selecting </w:t>
      </w:r>
      <w:r w:rsidRPr="00DF375F">
        <w:rPr>
          <w:b/>
        </w:rPr>
        <w:t>Windows Powershell</w:t>
      </w:r>
      <w:r>
        <w:t xml:space="preserve"> from the start menu.  </w:t>
      </w:r>
    </w:p>
    <w:p w:rsidR="0025553B" w:rsidRDefault="0025553B" w:rsidP="0025553B">
      <w:pPr>
        <w:pStyle w:val="ppNumberList"/>
        <w:numPr>
          <w:ilvl w:val="1"/>
          <w:numId w:val="12"/>
        </w:numPr>
        <w:ind w:left="754" w:hanging="357"/>
      </w:pPr>
      <w:r>
        <w:t>Within the Windows PowerShell command prompt, enter the following command to add the Azure Services Management cmdlets to the console’s scope, if you have not already done so:</w:t>
      </w:r>
    </w:p>
    <w:p w:rsidR="0025553B" w:rsidRDefault="0025553B" w:rsidP="0025553B">
      <w:pPr>
        <w:pStyle w:val="ppCodeLanguageIndent"/>
      </w:pPr>
      <w:r>
        <w:t>Command</w:t>
      </w:r>
    </w:p>
    <w:p w:rsidR="0025553B" w:rsidRDefault="0025553B" w:rsidP="0025553B">
      <w:pPr>
        <w:pStyle w:val="ppCodeIndent"/>
      </w:pPr>
      <w:r>
        <w:t>add-PSSnapin AzureServicesManagement</w:t>
      </w:r>
    </w:p>
    <w:p w:rsidR="0025553B" w:rsidRDefault="0025553B" w:rsidP="0025553B">
      <w:pPr>
        <w:pStyle w:val="ppNumberList"/>
        <w:numPr>
          <w:ilvl w:val="0"/>
          <w:numId w:val="0"/>
        </w:numPr>
        <w:ind w:left="754"/>
      </w:pPr>
    </w:p>
    <w:p w:rsidR="0025553B" w:rsidRDefault="0025553B" w:rsidP="0025553B">
      <w:pPr>
        <w:pStyle w:val="ppNumberList"/>
        <w:numPr>
          <w:ilvl w:val="1"/>
          <w:numId w:val="12"/>
        </w:numPr>
        <w:ind w:left="754" w:hanging="357"/>
      </w:pPr>
      <w:r>
        <w:t>First, let’s see how to deploy a new workflow using the PowerShell cmdlet.   The following command demonstrates how to create a new Workflow Type named Sample1 using the sample workflow that is included with the cmdlets.    Substitute the username and password with your .NET &amp; SQL Services solution account name and password.</w:t>
      </w:r>
    </w:p>
    <w:p w:rsidR="0025553B" w:rsidRDefault="0025553B" w:rsidP="0025553B">
      <w:pPr>
        <w:pStyle w:val="ppCodeLanguageIndent"/>
      </w:pPr>
      <w:r>
        <w:t>Command</w:t>
      </w:r>
    </w:p>
    <w:p w:rsidR="0025553B" w:rsidRDefault="0025553B" w:rsidP="0025553B">
      <w:pPr>
        <w:pStyle w:val="ppCodeIndent"/>
      </w:pPr>
      <w:r>
        <w:t xml:space="preserve">new-WorkflowType -Username </w:t>
      </w:r>
      <w:r w:rsidRPr="00DF375F">
        <w:t>%SolutionName%</w:t>
      </w:r>
      <w:r>
        <w:t xml:space="preserve"> -Password </w:t>
      </w:r>
      <w:r w:rsidRPr="00DF375F">
        <w:t>%SolutionPassword%</w:t>
      </w:r>
      <w:r>
        <w:t xml:space="preserve"> </w:t>
      </w:r>
    </w:p>
    <w:p w:rsidR="0025553B" w:rsidRDefault="0025553B" w:rsidP="0025553B">
      <w:pPr>
        <w:pStyle w:val="ppCodeIndent"/>
      </w:pPr>
      <w:r>
        <w:t xml:space="preserve">–TypeName Sample1 </w:t>
      </w:r>
    </w:p>
    <w:p w:rsidR="0025553B" w:rsidRDefault="0025553B" w:rsidP="0025553B">
      <w:pPr>
        <w:pStyle w:val="ppCodeIndent"/>
      </w:pPr>
      <w:r>
        <w:t xml:space="preserve">-Xoml  C:\AzureServicesManagement\bin\Debug\Workflow\Sample\Workflow.xoml </w:t>
      </w:r>
    </w:p>
    <w:p w:rsidR="0025553B" w:rsidRDefault="0025553B" w:rsidP="0025553B">
      <w:pPr>
        <w:pStyle w:val="ppCodeIndent"/>
      </w:pPr>
      <w:r>
        <w:t>-rules C:\AzureServicesManagement\bin\Debug\Workflow\SampleWorkflow.rules</w:t>
      </w:r>
    </w:p>
    <w:p w:rsidR="0025553B" w:rsidRDefault="0025553B" w:rsidP="0025553B">
      <w:pPr>
        <w:pStyle w:val="ppBodyText"/>
        <w:numPr>
          <w:ilvl w:val="0"/>
          <w:numId w:val="0"/>
        </w:numPr>
      </w:pPr>
    </w:p>
    <w:p w:rsidR="0025553B" w:rsidRDefault="0025553B" w:rsidP="0025553B">
      <w:pPr>
        <w:pStyle w:val="ppNumberList"/>
        <w:numPr>
          <w:ilvl w:val="1"/>
          <w:numId w:val="12"/>
        </w:numPr>
        <w:ind w:left="754" w:hanging="357"/>
      </w:pPr>
      <w:r>
        <w:t>Run the following command to retrieve a list of the Workflow Types that have been deployed into .NET Workflow Services for your solution account.   Substitute the username and password with your .NET &amp; SQL Services solution account name and password.</w:t>
      </w:r>
    </w:p>
    <w:p w:rsidR="0025553B" w:rsidRDefault="0025553B" w:rsidP="0025553B">
      <w:pPr>
        <w:pStyle w:val="ppCodeLanguageIndent"/>
      </w:pPr>
      <w:r>
        <w:t>Command</w:t>
      </w:r>
    </w:p>
    <w:p w:rsidR="0025553B" w:rsidRDefault="0025553B" w:rsidP="0025553B">
      <w:pPr>
        <w:pStyle w:val="ppCodeIndent"/>
      </w:pPr>
      <w:r>
        <w:t xml:space="preserve">get-WorkflowTypeNames –UserName </w:t>
      </w:r>
      <w:r w:rsidRPr="00DF375F">
        <w:t>%SolutionName% -Password %SolutionPassword%</w:t>
      </w:r>
    </w:p>
    <w:p w:rsidR="0025553B" w:rsidRDefault="0025553B" w:rsidP="0025553B">
      <w:pPr>
        <w:pStyle w:val="ppBodyText"/>
        <w:numPr>
          <w:ilvl w:val="0"/>
          <w:numId w:val="0"/>
        </w:numPr>
      </w:pPr>
    </w:p>
    <w:p w:rsidR="0025553B" w:rsidRDefault="0025553B" w:rsidP="0025553B">
      <w:pPr>
        <w:pStyle w:val="ppNumberList"/>
        <w:numPr>
          <w:ilvl w:val="1"/>
          <w:numId w:val="12"/>
        </w:numPr>
        <w:ind w:left="754" w:hanging="357"/>
      </w:pPr>
      <w:r>
        <w:t>You will see a list of the Workflow Types displayed in the console window.   The list should include the new Sample1 workflow from the previous step:</w:t>
      </w:r>
    </w:p>
    <w:p w:rsidR="0025553B" w:rsidRDefault="0025553B" w:rsidP="0025553B">
      <w:pPr>
        <w:pStyle w:val="ppFigureIndent"/>
      </w:pPr>
      <w:r w:rsidRPr="0086371F">
        <w:rPr>
          <w:noProof/>
          <w:lang w:bidi="ar-SA"/>
        </w:rPr>
        <w:drawing>
          <wp:inline distT="0" distB="0" distL="0" distR="0">
            <wp:extent cx="5943600" cy="2080260"/>
            <wp:effectExtent l="19050" t="0" r="0" b="0"/>
            <wp:docPr id="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srcRect/>
                    <a:stretch>
                      <a:fillRect/>
                    </a:stretch>
                  </pic:blipFill>
                  <pic:spPr bwMode="auto">
                    <a:xfrm>
                      <a:off x="0" y="0"/>
                      <a:ext cx="5943600" cy="2080260"/>
                    </a:xfrm>
                    <a:prstGeom prst="rect">
                      <a:avLst/>
                    </a:prstGeom>
                    <a:noFill/>
                    <a:ln w="9525">
                      <a:noFill/>
                      <a:miter lim="800000"/>
                      <a:headEnd/>
                      <a:tailEnd/>
                    </a:ln>
                  </pic:spPr>
                </pic:pic>
              </a:graphicData>
            </a:graphic>
          </wp:inline>
        </w:drawing>
      </w:r>
    </w:p>
    <w:p w:rsidR="0025553B" w:rsidRDefault="0025553B" w:rsidP="0025553B">
      <w:pPr>
        <w:pStyle w:val="ppNumberList"/>
        <w:numPr>
          <w:ilvl w:val="1"/>
          <w:numId w:val="12"/>
        </w:numPr>
        <w:ind w:left="754" w:hanging="357"/>
      </w:pPr>
      <w:r>
        <w:lastRenderedPageBreak/>
        <w:t>Finally, to undeploy a workflow you can remove the Workflow Type using the Remove-WorkflowType cmdlet.   The following example removes the Sample1 Workflow Type that we deployed in the previous example:</w:t>
      </w:r>
    </w:p>
    <w:p w:rsidR="0025553B" w:rsidRDefault="0025553B" w:rsidP="0025553B">
      <w:pPr>
        <w:pStyle w:val="ppCodeLanguageIndent"/>
      </w:pPr>
      <w:r>
        <w:t>Command</w:t>
      </w:r>
    </w:p>
    <w:p w:rsidR="0025553B" w:rsidRDefault="0025553B" w:rsidP="0025553B">
      <w:pPr>
        <w:pStyle w:val="ppCodeIndent"/>
      </w:pPr>
      <w:r>
        <w:t xml:space="preserve">remove-WorkflowType -Username </w:t>
      </w:r>
      <w:r w:rsidRPr="00DF375F">
        <w:t>%SolutionName%</w:t>
      </w:r>
      <w:r>
        <w:t xml:space="preserve"> -Password </w:t>
      </w:r>
      <w:r w:rsidRPr="00DF375F">
        <w:t>%SolutionPassword%</w:t>
      </w:r>
      <w:r>
        <w:t xml:space="preserve"> </w:t>
      </w:r>
    </w:p>
    <w:p w:rsidR="0025553B" w:rsidRDefault="0025553B" w:rsidP="0025553B">
      <w:pPr>
        <w:pStyle w:val="ppCodeIndent"/>
      </w:pPr>
      <w:r>
        <w:t>–TypeName Sample1</w:t>
      </w:r>
    </w:p>
    <w:p w:rsidR="0025553B" w:rsidRDefault="0025553B" w:rsidP="0025553B">
      <w:pPr>
        <w:pStyle w:val="ppListEnd"/>
      </w:pPr>
    </w:p>
    <w:p w:rsidR="0025553B" w:rsidRDefault="0025553B" w:rsidP="0025553B">
      <w:pPr>
        <w:pStyle w:val="ppBodyText"/>
        <w:numPr>
          <w:ilvl w:val="0"/>
          <w:numId w:val="0"/>
        </w:numPr>
      </w:pPr>
    </w:p>
    <w:p w:rsidR="0025553B" w:rsidRDefault="0025553B" w:rsidP="0025553B">
      <w:pPr>
        <w:pStyle w:val="ppBodyText"/>
        <w:numPr>
          <w:ilvl w:val="0"/>
          <w:numId w:val="0"/>
        </w:numPr>
      </w:pPr>
    </w:p>
    <w:p w:rsidR="0025553B" w:rsidRDefault="0025553B" w:rsidP="0025553B">
      <w:pPr>
        <w:pStyle w:val="ppBodyText"/>
        <w:numPr>
          <w:ilvl w:val="0"/>
          <w:numId w:val="0"/>
        </w:numPr>
      </w:pPr>
    </w:p>
    <w:sdt>
      <w:sdtPr>
        <w:alias w:val="Topic"/>
        <w:tag w:val="7ff82d0e-de50-453d-acd9-74ef441f382c"/>
        <w:id w:val="4651829"/>
        <w:placeholder>
          <w:docPart w:val="CEE2B0A1273349C6AFC777745A573611"/>
        </w:placeholder>
        <w:text/>
      </w:sdtPr>
      <w:sdtContent>
        <w:bookmarkStart w:id="13" w:name="_Toc212789457" w:displacedByCustomXml="prev"/>
        <w:p w:rsidR="0025553B" w:rsidRDefault="0025553B" w:rsidP="0025553B">
          <w:pPr>
            <w:pStyle w:val="ppTopic"/>
          </w:pPr>
          <w:r>
            <w:t>Known Issues</w:t>
          </w:r>
        </w:p>
      </w:sdtContent>
    </w:sdt>
    <w:bookmarkEnd w:id="13" w:displacedByCustomXml="prev"/>
    <w:p w:rsidR="0025553B" w:rsidRDefault="0025553B" w:rsidP="0025553B">
      <w:pPr>
        <w:pStyle w:val="ppBodyText"/>
      </w:pPr>
      <w:r>
        <w:rPr>
          <w:noProof/>
        </w:rPr>
        <w:t>Please note the following known issues:</w:t>
      </w:r>
    </w:p>
    <w:p w:rsidR="0025553B" w:rsidRDefault="0025553B" w:rsidP="0025553B">
      <w:pPr>
        <w:pStyle w:val="ppBulletList"/>
        <w:rPr>
          <w:noProof/>
        </w:rPr>
      </w:pPr>
      <w:r>
        <w:t xml:space="preserve">Currently it is not possible to delete a SQL Data Services Authority.   </w:t>
      </w:r>
    </w:p>
    <w:p w:rsidR="0025553B" w:rsidRPr="00A81845" w:rsidRDefault="0025553B" w:rsidP="0025553B">
      <w:pPr>
        <w:pStyle w:val="ppListEnd"/>
        <w:numPr>
          <w:ilvl w:val="0"/>
          <w:numId w:val="12"/>
        </w:numPr>
        <w:rPr>
          <w:noProof/>
          <w:highlight w:val="yellow"/>
        </w:rPr>
      </w:pPr>
    </w:p>
    <w:p w:rsidR="006B40C4" w:rsidRPr="00DB422D" w:rsidRDefault="006B40C4" w:rsidP="00DB422D">
      <w:pPr>
        <w:pStyle w:val="ppBodyText"/>
        <w:numPr>
          <w:ilvl w:val="0"/>
          <w:numId w:val="0"/>
        </w:numPr>
      </w:pPr>
    </w:p>
    <w:sectPr w:rsidR="006B40C4" w:rsidRPr="00DB422D" w:rsidSect="00BF6E97">
      <w:headerReference w:type="default" r:id="rId2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1071" w:rsidRPr="001253EC" w:rsidRDefault="000F1071" w:rsidP="001253EC">
      <w:pPr>
        <w:pStyle w:val="ppTableText"/>
        <w:spacing w:before="0" w:after="0" w:line="240" w:lineRule="auto"/>
        <w:rPr>
          <w:rFonts w:asciiTheme="minorHAnsi" w:eastAsiaTheme="minorEastAsia" w:hAnsiTheme="minorHAnsi" w:cstheme="minorBidi"/>
          <w:color w:val="auto"/>
          <w:sz w:val="22"/>
          <w:szCs w:val="22"/>
          <w:lang w:bidi="en-US"/>
        </w:rPr>
      </w:pPr>
      <w:r>
        <w:separator/>
      </w:r>
    </w:p>
  </w:endnote>
  <w:endnote w:type="continuationSeparator" w:id="1">
    <w:p w:rsidR="000F1071" w:rsidRPr="001253EC" w:rsidRDefault="000F1071" w:rsidP="001253EC">
      <w:pPr>
        <w:pStyle w:val="ppTableText"/>
        <w:spacing w:before="0" w:after="0" w:line="240" w:lineRule="auto"/>
        <w:rPr>
          <w:rFonts w:asciiTheme="minorHAnsi" w:eastAsiaTheme="minorEastAsia" w:hAnsiTheme="minorHAnsi" w:cstheme="minorBidi"/>
          <w:color w:val="auto"/>
          <w:sz w:val="22"/>
          <w:szCs w:val="22"/>
          <w:lang w:bidi="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A00002EF" w:usb1="4000204B" w:usb2="00000000" w:usb3="00000000" w:csb0="0000009F" w:csb1="00000000"/>
  </w:font>
  <w:font w:name="Britannic Bold">
    <w:panose1 w:val="020B0903060703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A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1071" w:rsidRPr="001253EC" w:rsidRDefault="000F1071" w:rsidP="001253EC">
      <w:pPr>
        <w:pStyle w:val="ppTableText"/>
        <w:spacing w:before="0" w:after="0" w:line="240" w:lineRule="auto"/>
        <w:rPr>
          <w:rFonts w:asciiTheme="minorHAnsi" w:eastAsiaTheme="minorEastAsia" w:hAnsiTheme="minorHAnsi" w:cstheme="minorBidi"/>
          <w:color w:val="auto"/>
          <w:sz w:val="22"/>
          <w:szCs w:val="22"/>
          <w:lang w:bidi="en-US"/>
        </w:rPr>
      </w:pPr>
      <w:r>
        <w:separator/>
      </w:r>
    </w:p>
  </w:footnote>
  <w:footnote w:type="continuationSeparator" w:id="1">
    <w:p w:rsidR="000F1071" w:rsidRPr="001253EC" w:rsidRDefault="000F1071" w:rsidP="001253EC">
      <w:pPr>
        <w:pStyle w:val="ppTableText"/>
        <w:spacing w:before="0" w:after="0" w:line="240" w:lineRule="auto"/>
        <w:rPr>
          <w:rFonts w:asciiTheme="minorHAnsi" w:eastAsiaTheme="minorEastAsia" w:hAnsiTheme="minorHAnsi" w:cstheme="minorBidi"/>
          <w:color w:val="auto"/>
          <w:sz w:val="22"/>
          <w:szCs w:val="22"/>
          <w:lang w:bidi="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4D2" w:rsidRDefault="004F14D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44D36"/>
    <w:multiLevelType w:val="hybridMultilevel"/>
    <w:tmpl w:val="6E3A2A68"/>
    <w:lvl w:ilvl="0" w:tplc="0C126042">
      <w:start w:val="1"/>
      <w:numFmt w:val="decimal"/>
      <w:pStyle w:val="Step"/>
      <w:lvlText w:val="%1."/>
      <w:lvlJc w:val="left"/>
      <w:pPr>
        <w:tabs>
          <w:tab w:val="num" w:pos="720"/>
        </w:tabs>
        <w:ind w:left="720" w:hanging="360"/>
      </w:pPr>
      <w:rPr>
        <w:b w:val="0"/>
      </w:rPr>
    </w:lvl>
    <w:lvl w:ilvl="1" w:tplc="CD72451A">
      <w:start w:val="1"/>
      <w:numFmt w:val="lowerLetter"/>
      <w:lvlText w:val="%2."/>
      <w:lvlJc w:val="left"/>
      <w:pPr>
        <w:tabs>
          <w:tab w:val="num" w:pos="1374"/>
        </w:tabs>
        <w:ind w:left="1374" w:hanging="360"/>
      </w:pPr>
      <w:rPr>
        <w:b w:val="0"/>
      </w:rPr>
    </w:lvl>
    <w:lvl w:ilvl="2" w:tplc="0409001B">
      <w:start w:val="1"/>
      <w:numFmt w:val="lowerRoman"/>
      <w:lvlText w:val="%3."/>
      <w:lvlJc w:val="right"/>
      <w:pPr>
        <w:tabs>
          <w:tab w:val="num" w:pos="2094"/>
        </w:tabs>
        <w:ind w:left="2094" w:hanging="180"/>
      </w:pPr>
    </w:lvl>
    <w:lvl w:ilvl="3" w:tplc="0409000F">
      <w:start w:val="1"/>
      <w:numFmt w:val="decimal"/>
      <w:lvlText w:val="%4."/>
      <w:lvlJc w:val="left"/>
      <w:pPr>
        <w:tabs>
          <w:tab w:val="num" w:pos="2814"/>
        </w:tabs>
        <w:ind w:left="2814" w:hanging="360"/>
      </w:pPr>
    </w:lvl>
    <w:lvl w:ilvl="4" w:tplc="04090019" w:tentative="1">
      <w:start w:val="1"/>
      <w:numFmt w:val="lowerLetter"/>
      <w:lvlText w:val="%5."/>
      <w:lvlJc w:val="left"/>
      <w:pPr>
        <w:tabs>
          <w:tab w:val="num" w:pos="3534"/>
        </w:tabs>
        <w:ind w:left="3534" w:hanging="360"/>
      </w:pPr>
    </w:lvl>
    <w:lvl w:ilvl="5" w:tplc="0409001B" w:tentative="1">
      <w:start w:val="1"/>
      <w:numFmt w:val="lowerRoman"/>
      <w:lvlText w:val="%6."/>
      <w:lvlJc w:val="right"/>
      <w:pPr>
        <w:tabs>
          <w:tab w:val="num" w:pos="4254"/>
        </w:tabs>
        <w:ind w:left="4254" w:hanging="180"/>
      </w:pPr>
    </w:lvl>
    <w:lvl w:ilvl="6" w:tplc="0409000F" w:tentative="1">
      <w:start w:val="1"/>
      <w:numFmt w:val="decimal"/>
      <w:lvlText w:val="%7."/>
      <w:lvlJc w:val="left"/>
      <w:pPr>
        <w:tabs>
          <w:tab w:val="num" w:pos="4974"/>
        </w:tabs>
        <w:ind w:left="4974" w:hanging="360"/>
      </w:pPr>
    </w:lvl>
    <w:lvl w:ilvl="7" w:tplc="04090019" w:tentative="1">
      <w:start w:val="1"/>
      <w:numFmt w:val="lowerLetter"/>
      <w:lvlText w:val="%8."/>
      <w:lvlJc w:val="left"/>
      <w:pPr>
        <w:tabs>
          <w:tab w:val="num" w:pos="5694"/>
        </w:tabs>
        <w:ind w:left="5694" w:hanging="360"/>
      </w:pPr>
    </w:lvl>
    <w:lvl w:ilvl="8" w:tplc="0409001B" w:tentative="1">
      <w:start w:val="1"/>
      <w:numFmt w:val="lowerRoman"/>
      <w:lvlText w:val="%9."/>
      <w:lvlJc w:val="right"/>
      <w:pPr>
        <w:tabs>
          <w:tab w:val="num" w:pos="6414"/>
        </w:tabs>
        <w:ind w:left="6414" w:hanging="180"/>
      </w:pPr>
    </w:lvl>
  </w:abstractNum>
  <w:abstractNum w:abstractNumId="1">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2">
    <w:nsid w:val="1E3D46FC"/>
    <w:multiLevelType w:val="hybridMultilevel"/>
    <w:tmpl w:val="C97E789C"/>
    <w:lvl w:ilvl="0" w:tplc="3432C7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5">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6">
    <w:nsid w:val="4C686773"/>
    <w:multiLevelType w:val="multilevel"/>
    <w:tmpl w:val="05AC1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8">
    <w:nsid w:val="51F328D3"/>
    <w:multiLevelType w:val="hybridMultilevel"/>
    <w:tmpl w:val="D7E61500"/>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nsid w:val="55804490"/>
    <w:multiLevelType w:val="hybridMultilevel"/>
    <w:tmpl w:val="18EC6BDC"/>
    <w:lvl w:ilvl="0" w:tplc="373C5D6A">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1">
    <w:nsid w:val="63766544"/>
    <w:multiLevelType w:val="hybridMultilevel"/>
    <w:tmpl w:val="38765E5C"/>
    <w:lvl w:ilvl="0" w:tplc="0409000F">
      <w:start w:val="1"/>
      <w:numFmt w:val="decimal"/>
      <w:lvlText w:val="%1."/>
      <w:lvlJc w:val="left"/>
      <w:pPr>
        <w:ind w:left="1040" w:hanging="360"/>
      </w:pPr>
    </w:lvl>
    <w:lvl w:ilvl="1" w:tplc="04090019">
      <w:start w:val="1"/>
      <w:numFmt w:val="lowerLetter"/>
      <w:lvlText w:val="%2."/>
      <w:lvlJc w:val="left"/>
      <w:pPr>
        <w:ind w:left="1760" w:hanging="360"/>
      </w:pPr>
    </w:lvl>
    <w:lvl w:ilvl="2" w:tplc="0409001B" w:tentative="1">
      <w:start w:val="1"/>
      <w:numFmt w:val="lowerRoman"/>
      <w:lvlText w:val="%3."/>
      <w:lvlJc w:val="right"/>
      <w:pPr>
        <w:ind w:left="2480" w:hanging="180"/>
      </w:pPr>
    </w:lvl>
    <w:lvl w:ilvl="3" w:tplc="0409000F" w:tentative="1">
      <w:start w:val="1"/>
      <w:numFmt w:val="decimal"/>
      <w:lvlText w:val="%4."/>
      <w:lvlJc w:val="left"/>
      <w:pPr>
        <w:ind w:left="3200" w:hanging="360"/>
      </w:pPr>
    </w:lvl>
    <w:lvl w:ilvl="4" w:tplc="04090019" w:tentative="1">
      <w:start w:val="1"/>
      <w:numFmt w:val="lowerLetter"/>
      <w:lvlText w:val="%5."/>
      <w:lvlJc w:val="left"/>
      <w:pPr>
        <w:ind w:left="3920" w:hanging="360"/>
      </w:pPr>
    </w:lvl>
    <w:lvl w:ilvl="5" w:tplc="0409001B" w:tentative="1">
      <w:start w:val="1"/>
      <w:numFmt w:val="lowerRoman"/>
      <w:lvlText w:val="%6."/>
      <w:lvlJc w:val="right"/>
      <w:pPr>
        <w:ind w:left="4640" w:hanging="180"/>
      </w:pPr>
    </w:lvl>
    <w:lvl w:ilvl="6" w:tplc="0409000F" w:tentative="1">
      <w:start w:val="1"/>
      <w:numFmt w:val="decimal"/>
      <w:lvlText w:val="%7."/>
      <w:lvlJc w:val="left"/>
      <w:pPr>
        <w:ind w:left="5360" w:hanging="360"/>
      </w:pPr>
    </w:lvl>
    <w:lvl w:ilvl="7" w:tplc="04090019" w:tentative="1">
      <w:start w:val="1"/>
      <w:numFmt w:val="lowerLetter"/>
      <w:lvlText w:val="%8."/>
      <w:lvlJc w:val="left"/>
      <w:pPr>
        <w:ind w:left="6080" w:hanging="360"/>
      </w:pPr>
    </w:lvl>
    <w:lvl w:ilvl="8" w:tplc="0409001B" w:tentative="1">
      <w:start w:val="1"/>
      <w:numFmt w:val="lowerRoman"/>
      <w:lvlText w:val="%9."/>
      <w:lvlJc w:val="right"/>
      <w:pPr>
        <w:ind w:left="6800" w:hanging="180"/>
      </w:pPr>
    </w:lvl>
  </w:abstractNum>
  <w:abstractNum w:abstractNumId="12">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3">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14">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5">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16">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7">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10"/>
  </w:num>
  <w:num w:numId="2">
    <w:abstractNumId w:val="13"/>
  </w:num>
  <w:num w:numId="3">
    <w:abstractNumId w:val="1"/>
  </w:num>
  <w:num w:numId="4">
    <w:abstractNumId w:val="17"/>
  </w:num>
  <w:num w:numId="5">
    <w:abstractNumId w:val="12"/>
  </w:num>
  <w:num w:numId="6">
    <w:abstractNumId w:val="14"/>
  </w:num>
  <w:num w:numId="7">
    <w:abstractNumId w:val="5"/>
  </w:num>
  <w:num w:numId="8">
    <w:abstractNumId w:val="16"/>
  </w:num>
  <w:num w:numId="9">
    <w:abstractNumId w:val="4"/>
  </w:num>
  <w:num w:numId="10">
    <w:abstractNumId w:val="15"/>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3"/>
  </w:num>
  <w:num w:numId="20">
    <w:abstractNumId w:val="8"/>
  </w:num>
  <w:num w:numId="21">
    <w:abstractNumId w:val="0"/>
  </w:num>
  <w:num w:numId="22">
    <w:abstractNumId w:val="0"/>
    <w:lvlOverride w:ilvl="0">
      <w:startOverride w:val="1"/>
    </w:lvlOverride>
  </w:num>
  <w:num w:numId="23">
    <w:abstractNumId w:val="2"/>
  </w:num>
  <w:num w:numId="24">
    <w:abstractNumId w:val="11"/>
  </w:num>
  <w:num w:numId="25">
    <w:abstractNumId w:val="9"/>
  </w:num>
  <w:num w:numId="2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en-US" w:vendorID="64" w:dllVersion="131078" w:nlCheck="1" w:checkStyle="0"/>
  <w:activeWritingStyle w:appName="MSWord" w:lang="en-NZ" w:vendorID="64" w:dllVersion="131078" w:nlCheck="1" w:checkStyle="1"/>
  <w:attachedTemplate r:id="rId1"/>
  <w:defaultTabStop w:val="720"/>
  <w:characterSpacingControl w:val="doNotCompress"/>
  <w:footnotePr>
    <w:footnote w:id="0"/>
    <w:footnote w:id="1"/>
  </w:footnotePr>
  <w:endnotePr>
    <w:endnote w:id="0"/>
    <w:endnote w:id="1"/>
  </w:endnotePr>
  <w:compat/>
  <w:rsids>
    <w:rsidRoot w:val="002573C3"/>
    <w:rsid w:val="00001BEA"/>
    <w:rsid w:val="00005642"/>
    <w:rsid w:val="00011B72"/>
    <w:rsid w:val="000132B7"/>
    <w:rsid w:val="000256CC"/>
    <w:rsid w:val="00032704"/>
    <w:rsid w:val="00036417"/>
    <w:rsid w:val="00036D27"/>
    <w:rsid w:val="00045DA5"/>
    <w:rsid w:val="00053E91"/>
    <w:rsid w:val="00060F83"/>
    <w:rsid w:val="00062DC6"/>
    <w:rsid w:val="00063819"/>
    <w:rsid w:val="00064A9D"/>
    <w:rsid w:val="000724FD"/>
    <w:rsid w:val="00092F57"/>
    <w:rsid w:val="00094D4A"/>
    <w:rsid w:val="00095276"/>
    <w:rsid w:val="000A2091"/>
    <w:rsid w:val="000B1975"/>
    <w:rsid w:val="000D01C0"/>
    <w:rsid w:val="000D147E"/>
    <w:rsid w:val="000E0027"/>
    <w:rsid w:val="000E36DC"/>
    <w:rsid w:val="000E4CC2"/>
    <w:rsid w:val="000E66E5"/>
    <w:rsid w:val="000F1071"/>
    <w:rsid w:val="000F49B9"/>
    <w:rsid w:val="000F4F9F"/>
    <w:rsid w:val="001036A2"/>
    <w:rsid w:val="0010475E"/>
    <w:rsid w:val="00107967"/>
    <w:rsid w:val="0011025E"/>
    <w:rsid w:val="001109F0"/>
    <w:rsid w:val="00112818"/>
    <w:rsid w:val="00112A0C"/>
    <w:rsid w:val="00115F6A"/>
    <w:rsid w:val="00116D8E"/>
    <w:rsid w:val="0012053C"/>
    <w:rsid w:val="001215DE"/>
    <w:rsid w:val="00124C19"/>
    <w:rsid w:val="001253EC"/>
    <w:rsid w:val="001378DC"/>
    <w:rsid w:val="00143F14"/>
    <w:rsid w:val="001518D3"/>
    <w:rsid w:val="001768C6"/>
    <w:rsid w:val="001771B6"/>
    <w:rsid w:val="00182240"/>
    <w:rsid w:val="00186E4D"/>
    <w:rsid w:val="00190707"/>
    <w:rsid w:val="00191100"/>
    <w:rsid w:val="00192C2F"/>
    <w:rsid w:val="001930E7"/>
    <w:rsid w:val="001A0558"/>
    <w:rsid w:val="001A188D"/>
    <w:rsid w:val="001A41D9"/>
    <w:rsid w:val="001A4728"/>
    <w:rsid w:val="001B0340"/>
    <w:rsid w:val="001B0AF4"/>
    <w:rsid w:val="001B152D"/>
    <w:rsid w:val="001B1FFD"/>
    <w:rsid w:val="001B5D95"/>
    <w:rsid w:val="001B624A"/>
    <w:rsid w:val="001B748F"/>
    <w:rsid w:val="001B78A3"/>
    <w:rsid w:val="001C0885"/>
    <w:rsid w:val="001C428E"/>
    <w:rsid w:val="001C43A4"/>
    <w:rsid w:val="001D3654"/>
    <w:rsid w:val="001D5B16"/>
    <w:rsid w:val="001E0ACB"/>
    <w:rsid w:val="001E7CDE"/>
    <w:rsid w:val="001F11FC"/>
    <w:rsid w:val="001F2EEE"/>
    <w:rsid w:val="001F2FD0"/>
    <w:rsid w:val="001F62FD"/>
    <w:rsid w:val="001F7DC1"/>
    <w:rsid w:val="002005D6"/>
    <w:rsid w:val="00200F59"/>
    <w:rsid w:val="00201564"/>
    <w:rsid w:val="00204890"/>
    <w:rsid w:val="00217F43"/>
    <w:rsid w:val="00220CB8"/>
    <w:rsid w:val="002312CD"/>
    <w:rsid w:val="002318FF"/>
    <w:rsid w:val="002377B4"/>
    <w:rsid w:val="002400AE"/>
    <w:rsid w:val="00245B07"/>
    <w:rsid w:val="002523BC"/>
    <w:rsid w:val="0025553B"/>
    <w:rsid w:val="002564B7"/>
    <w:rsid w:val="002573C3"/>
    <w:rsid w:val="002600C1"/>
    <w:rsid w:val="0027403E"/>
    <w:rsid w:val="00274966"/>
    <w:rsid w:val="00280B2B"/>
    <w:rsid w:val="00297EDF"/>
    <w:rsid w:val="002A07AE"/>
    <w:rsid w:val="002A0E44"/>
    <w:rsid w:val="002A2AA2"/>
    <w:rsid w:val="002A5060"/>
    <w:rsid w:val="002A55EC"/>
    <w:rsid w:val="002B1413"/>
    <w:rsid w:val="002B3FF3"/>
    <w:rsid w:val="002C06DB"/>
    <w:rsid w:val="002C3374"/>
    <w:rsid w:val="002C4599"/>
    <w:rsid w:val="002D2382"/>
    <w:rsid w:val="002D2EE8"/>
    <w:rsid w:val="002E2EA5"/>
    <w:rsid w:val="002E3961"/>
    <w:rsid w:val="002E4870"/>
    <w:rsid w:val="002E7FF0"/>
    <w:rsid w:val="002F15BC"/>
    <w:rsid w:val="002F3514"/>
    <w:rsid w:val="0030093F"/>
    <w:rsid w:val="00300D5A"/>
    <w:rsid w:val="00301A71"/>
    <w:rsid w:val="00303AAD"/>
    <w:rsid w:val="00306F68"/>
    <w:rsid w:val="00306FEE"/>
    <w:rsid w:val="003117CA"/>
    <w:rsid w:val="00312BB4"/>
    <w:rsid w:val="00320627"/>
    <w:rsid w:val="00325FE7"/>
    <w:rsid w:val="00326915"/>
    <w:rsid w:val="00331BC5"/>
    <w:rsid w:val="003320D2"/>
    <w:rsid w:val="003425B2"/>
    <w:rsid w:val="0034477F"/>
    <w:rsid w:val="00347ABB"/>
    <w:rsid w:val="00350DAA"/>
    <w:rsid w:val="0035298E"/>
    <w:rsid w:val="00361E74"/>
    <w:rsid w:val="003622D2"/>
    <w:rsid w:val="00363285"/>
    <w:rsid w:val="00364745"/>
    <w:rsid w:val="00364D1D"/>
    <w:rsid w:val="00367BE7"/>
    <w:rsid w:val="00367F64"/>
    <w:rsid w:val="00377FBC"/>
    <w:rsid w:val="003823AC"/>
    <w:rsid w:val="00384286"/>
    <w:rsid w:val="0038438B"/>
    <w:rsid w:val="003904FB"/>
    <w:rsid w:val="003912EB"/>
    <w:rsid w:val="003918E0"/>
    <w:rsid w:val="00393474"/>
    <w:rsid w:val="003951B8"/>
    <w:rsid w:val="00395D78"/>
    <w:rsid w:val="003A5A30"/>
    <w:rsid w:val="003B4972"/>
    <w:rsid w:val="003B5BC5"/>
    <w:rsid w:val="003B7724"/>
    <w:rsid w:val="003C6FD9"/>
    <w:rsid w:val="003D3EF7"/>
    <w:rsid w:val="003D4F92"/>
    <w:rsid w:val="003E2AE4"/>
    <w:rsid w:val="003E3A47"/>
    <w:rsid w:val="003E622C"/>
    <w:rsid w:val="003E75E9"/>
    <w:rsid w:val="003F0369"/>
    <w:rsid w:val="003F58DB"/>
    <w:rsid w:val="003F697C"/>
    <w:rsid w:val="003F7FCC"/>
    <w:rsid w:val="004008C0"/>
    <w:rsid w:val="004016FC"/>
    <w:rsid w:val="00407DD7"/>
    <w:rsid w:val="0041090C"/>
    <w:rsid w:val="00411222"/>
    <w:rsid w:val="004128A5"/>
    <w:rsid w:val="00417051"/>
    <w:rsid w:val="0041742D"/>
    <w:rsid w:val="00417B69"/>
    <w:rsid w:val="004207A1"/>
    <w:rsid w:val="00424DBF"/>
    <w:rsid w:val="00432D53"/>
    <w:rsid w:val="004363EA"/>
    <w:rsid w:val="00437E6A"/>
    <w:rsid w:val="00441AAA"/>
    <w:rsid w:val="004447C1"/>
    <w:rsid w:val="00447D7A"/>
    <w:rsid w:val="00456273"/>
    <w:rsid w:val="004614D8"/>
    <w:rsid w:val="00471FBB"/>
    <w:rsid w:val="00473477"/>
    <w:rsid w:val="00474BC5"/>
    <w:rsid w:val="00475801"/>
    <w:rsid w:val="004764D1"/>
    <w:rsid w:val="004812F2"/>
    <w:rsid w:val="00492609"/>
    <w:rsid w:val="00497F6A"/>
    <w:rsid w:val="004B143A"/>
    <w:rsid w:val="004B2EB9"/>
    <w:rsid w:val="004B53ED"/>
    <w:rsid w:val="004B7595"/>
    <w:rsid w:val="004B79A6"/>
    <w:rsid w:val="004B7C35"/>
    <w:rsid w:val="004B7FCE"/>
    <w:rsid w:val="004C28A4"/>
    <w:rsid w:val="004C3B3E"/>
    <w:rsid w:val="004D075C"/>
    <w:rsid w:val="004D6FD2"/>
    <w:rsid w:val="004F14D2"/>
    <w:rsid w:val="004F3FCA"/>
    <w:rsid w:val="004F52A4"/>
    <w:rsid w:val="004F65C7"/>
    <w:rsid w:val="004F6C77"/>
    <w:rsid w:val="004F7323"/>
    <w:rsid w:val="00504C39"/>
    <w:rsid w:val="005138CF"/>
    <w:rsid w:val="00526DAC"/>
    <w:rsid w:val="00534BB4"/>
    <w:rsid w:val="00541E62"/>
    <w:rsid w:val="00542D73"/>
    <w:rsid w:val="005439B3"/>
    <w:rsid w:val="00547654"/>
    <w:rsid w:val="005515DC"/>
    <w:rsid w:val="0055604F"/>
    <w:rsid w:val="005569DF"/>
    <w:rsid w:val="00556BD6"/>
    <w:rsid w:val="00557D19"/>
    <w:rsid w:val="00563468"/>
    <w:rsid w:val="00566363"/>
    <w:rsid w:val="005912C8"/>
    <w:rsid w:val="00592B60"/>
    <w:rsid w:val="005937CD"/>
    <w:rsid w:val="00593FB6"/>
    <w:rsid w:val="005946D0"/>
    <w:rsid w:val="00596B9C"/>
    <w:rsid w:val="005A10D5"/>
    <w:rsid w:val="005A3020"/>
    <w:rsid w:val="005A667B"/>
    <w:rsid w:val="005A68AE"/>
    <w:rsid w:val="005A7463"/>
    <w:rsid w:val="005B11CC"/>
    <w:rsid w:val="005B1BB3"/>
    <w:rsid w:val="005B4B6C"/>
    <w:rsid w:val="005B5FB7"/>
    <w:rsid w:val="005B7C95"/>
    <w:rsid w:val="005C279B"/>
    <w:rsid w:val="005D2484"/>
    <w:rsid w:val="005E0AEF"/>
    <w:rsid w:val="005E1017"/>
    <w:rsid w:val="005E3648"/>
    <w:rsid w:val="005E6FA1"/>
    <w:rsid w:val="005F750F"/>
    <w:rsid w:val="00606934"/>
    <w:rsid w:val="0060775F"/>
    <w:rsid w:val="00617BCC"/>
    <w:rsid w:val="00624788"/>
    <w:rsid w:val="00625E6C"/>
    <w:rsid w:val="00626E81"/>
    <w:rsid w:val="00630D9F"/>
    <w:rsid w:val="00633500"/>
    <w:rsid w:val="00633629"/>
    <w:rsid w:val="00633695"/>
    <w:rsid w:val="00635039"/>
    <w:rsid w:val="00644307"/>
    <w:rsid w:val="00647C3D"/>
    <w:rsid w:val="00654EC8"/>
    <w:rsid w:val="00672F29"/>
    <w:rsid w:val="006800A1"/>
    <w:rsid w:val="00685463"/>
    <w:rsid w:val="006911A2"/>
    <w:rsid w:val="00694034"/>
    <w:rsid w:val="00694BBA"/>
    <w:rsid w:val="006A73E6"/>
    <w:rsid w:val="006A7CCA"/>
    <w:rsid w:val="006B40C4"/>
    <w:rsid w:val="006B46D4"/>
    <w:rsid w:val="006B7DEE"/>
    <w:rsid w:val="006C074B"/>
    <w:rsid w:val="006C0A22"/>
    <w:rsid w:val="006C7787"/>
    <w:rsid w:val="006C77D8"/>
    <w:rsid w:val="006D3E7B"/>
    <w:rsid w:val="006D3ED1"/>
    <w:rsid w:val="006D576A"/>
    <w:rsid w:val="006D735B"/>
    <w:rsid w:val="006D7C21"/>
    <w:rsid w:val="006E0164"/>
    <w:rsid w:val="006E027B"/>
    <w:rsid w:val="006E1956"/>
    <w:rsid w:val="006E64AB"/>
    <w:rsid w:val="006F0BDC"/>
    <w:rsid w:val="006F5B06"/>
    <w:rsid w:val="007010C4"/>
    <w:rsid w:val="0070329F"/>
    <w:rsid w:val="00703A17"/>
    <w:rsid w:val="007070FA"/>
    <w:rsid w:val="0071241C"/>
    <w:rsid w:val="00713BAA"/>
    <w:rsid w:val="00714EB9"/>
    <w:rsid w:val="0072057A"/>
    <w:rsid w:val="007225EA"/>
    <w:rsid w:val="007248AC"/>
    <w:rsid w:val="007329C4"/>
    <w:rsid w:val="007348F8"/>
    <w:rsid w:val="00744F43"/>
    <w:rsid w:val="00752A60"/>
    <w:rsid w:val="00755A72"/>
    <w:rsid w:val="007575EB"/>
    <w:rsid w:val="007618F4"/>
    <w:rsid w:val="00773FF8"/>
    <w:rsid w:val="00774D01"/>
    <w:rsid w:val="007759E9"/>
    <w:rsid w:val="00780E34"/>
    <w:rsid w:val="00790167"/>
    <w:rsid w:val="0079495C"/>
    <w:rsid w:val="00797CC3"/>
    <w:rsid w:val="007B3A06"/>
    <w:rsid w:val="007B7B68"/>
    <w:rsid w:val="007C3B14"/>
    <w:rsid w:val="007C52C9"/>
    <w:rsid w:val="007D0D3A"/>
    <w:rsid w:val="007D6089"/>
    <w:rsid w:val="007E6E76"/>
    <w:rsid w:val="007F7B12"/>
    <w:rsid w:val="00800AB7"/>
    <w:rsid w:val="008101F3"/>
    <w:rsid w:val="00811E42"/>
    <w:rsid w:val="00815150"/>
    <w:rsid w:val="008215B2"/>
    <w:rsid w:val="00821C95"/>
    <w:rsid w:val="00823D91"/>
    <w:rsid w:val="00827F01"/>
    <w:rsid w:val="00837DCC"/>
    <w:rsid w:val="0084354A"/>
    <w:rsid w:val="00845E23"/>
    <w:rsid w:val="008477D4"/>
    <w:rsid w:val="008563CC"/>
    <w:rsid w:val="0086371F"/>
    <w:rsid w:val="008637C0"/>
    <w:rsid w:val="00873AC2"/>
    <w:rsid w:val="00873B39"/>
    <w:rsid w:val="0087526C"/>
    <w:rsid w:val="0088423C"/>
    <w:rsid w:val="00884BF6"/>
    <w:rsid w:val="00886292"/>
    <w:rsid w:val="00892BCC"/>
    <w:rsid w:val="00892F5F"/>
    <w:rsid w:val="00893A3E"/>
    <w:rsid w:val="00895045"/>
    <w:rsid w:val="008A11E7"/>
    <w:rsid w:val="008A15C1"/>
    <w:rsid w:val="008A1EA8"/>
    <w:rsid w:val="008A7B3C"/>
    <w:rsid w:val="008B258F"/>
    <w:rsid w:val="008B3BFA"/>
    <w:rsid w:val="008B4179"/>
    <w:rsid w:val="008B6BE7"/>
    <w:rsid w:val="008B72F4"/>
    <w:rsid w:val="008C0B47"/>
    <w:rsid w:val="008C2652"/>
    <w:rsid w:val="008C2B78"/>
    <w:rsid w:val="008C52D8"/>
    <w:rsid w:val="008C68BA"/>
    <w:rsid w:val="008D5467"/>
    <w:rsid w:val="008E3C8E"/>
    <w:rsid w:val="008E47A5"/>
    <w:rsid w:val="008F2B11"/>
    <w:rsid w:val="008F7895"/>
    <w:rsid w:val="00901607"/>
    <w:rsid w:val="00901FD4"/>
    <w:rsid w:val="009053BF"/>
    <w:rsid w:val="00905E15"/>
    <w:rsid w:val="009060A4"/>
    <w:rsid w:val="00911B76"/>
    <w:rsid w:val="0091283C"/>
    <w:rsid w:val="00917A6A"/>
    <w:rsid w:val="0092283B"/>
    <w:rsid w:val="00923C5D"/>
    <w:rsid w:val="00926408"/>
    <w:rsid w:val="009311E0"/>
    <w:rsid w:val="009314AF"/>
    <w:rsid w:val="00941670"/>
    <w:rsid w:val="009531E6"/>
    <w:rsid w:val="0095361D"/>
    <w:rsid w:val="009541A4"/>
    <w:rsid w:val="00971810"/>
    <w:rsid w:val="00973905"/>
    <w:rsid w:val="00980EEA"/>
    <w:rsid w:val="00982C10"/>
    <w:rsid w:val="00983281"/>
    <w:rsid w:val="009854FC"/>
    <w:rsid w:val="00990FB8"/>
    <w:rsid w:val="009A111C"/>
    <w:rsid w:val="009A5710"/>
    <w:rsid w:val="009A692E"/>
    <w:rsid w:val="009A7A62"/>
    <w:rsid w:val="009B515E"/>
    <w:rsid w:val="009C062D"/>
    <w:rsid w:val="009D1919"/>
    <w:rsid w:val="009D23B6"/>
    <w:rsid w:val="009D40DB"/>
    <w:rsid w:val="009D6C5F"/>
    <w:rsid w:val="009F006D"/>
    <w:rsid w:val="009F4D92"/>
    <w:rsid w:val="009F6821"/>
    <w:rsid w:val="009F69C4"/>
    <w:rsid w:val="00A00A39"/>
    <w:rsid w:val="00A06F8F"/>
    <w:rsid w:val="00A10506"/>
    <w:rsid w:val="00A13CB4"/>
    <w:rsid w:val="00A16B5B"/>
    <w:rsid w:val="00A32175"/>
    <w:rsid w:val="00A34FAC"/>
    <w:rsid w:val="00A4078E"/>
    <w:rsid w:val="00A45284"/>
    <w:rsid w:val="00A464E3"/>
    <w:rsid w:val="00A472CB"/>
    <w:rsid w:val="00A47D47"/>
    <w:rsid w:val="00A54274"/>
    <w:rsid w:val="00A55CB2"/>
    <w:rsid w:val="00A62448"/>
    <w:rsid w:val="00A81845"/>
    <w:rsid w:val="00A83292"/>
    <w:rsid w:val="00A86AAF"/>
    <w:rsid w:val="00A91964"/>
    <w:rsid w:val="00A93EDE"/>
    <w:rsid w:val="00A958BE"/>
    <w:rsid w:val="00AB083F"/>
    <w:rsid w:val="00AB378F"/>
    <w:rsid w:val="00AB4FBA"/>
    <w:rsid w:val="00AB5A3E"/>
    <w:rsid w:val="00AC031B"/>
    <w:rsid w:val="00AC5966"/>
    <w:rsid w:val="00AC7B57"/>
    <w:rsid w:val="00AD6341"/>
    <w:rsid w:val="00AE000C"/>
    <w:rsid w:val="00AE4A8B"/>
    <w:rsid w:val="00AF4E21"/>
    <w:rsid w:val="00AF73A3"/>
    <w:rsid w:val="00B00A05"/>
    <w:rsid w:val="00B047F2"/>
    <w:rsid w:val="00B050A7"/>
    <w:rsid w:val="00B1718C"/>
    <w:rsid w:val="00B23B5D"/>
    <w:rsid w:val="00B32470"/>
    <w:rsid w:val="00B35952"/>
    <w:rsid w:val="00B37B16"/>
    <w:rsid w:val="00B406E5"/>
    <w:rsid w:val="00B46147"/>
    <w:rsid w:val="00B55369"/>
    <w:rsid w:val="00B56A92"/>
    <w:rsid w:val="00B601FC"/>
    <w:rsid w:val="00B632E1"/>
    <w:rsid w:val="00B65052"/>
    <w:rsid w:val="00B65395"/>
    <w:rsid w:val="00B679B7"/>
    <w:rsid w:val="00B67AE9"/>
    <w:rsid w:val="00B71173"/>
    <w:rsid w:val="00B84508"/>
    <w:rsid w:val="00B97EB4"/>
    <w:rsid w:val="00BA20B8"/>
    <w:rsid w:val="00BA73F9"/>
    <w:rsid w:val="00BB30B7"/>
    <w:rsid w:val="00BB4FC1"/>
    <w:rsid w:val="00BC45D1"/>
    <w:rsid w:val="00BD1112"/>
    <w:rsid w:val="00BD6CFD"/>
    <w:rsid w:val="00BE05CE"/>
    <w:rsid w:val="00BE78F9"/>
    <w:rsid w:val="00BF353D"/>
    <w:rsid w:val="00BF6E97"/>
    <w:rsid w:val="00C05AD5"/>
    <w:rsid w:val="00C12286"/>
    <w:rsid w:val="00C12B93"/>
    <w:rsid w:val="00C14903"/>
    <w:rsid w:val="00C22F9A"/>
    <w:rsid w:val="00C27459"/>
    <w:rsid w:val="00C33026"/>
    <w:rsid w:val="00C40E9E"/>
    <w:rsid w:val="00C41E5B"/>
    <w:rsid w:val="00C4686B"/>
    <w:rsid w:val="00C52E6A"/>
    <w:rsid w:val="00C534BA"/>
    <w:rsid w:val="00C53D2D"/>
    <w:rsid w:val="00C6172E"/>
    <w:rsid w:val="00C619E5"/>
    <w:rsid w:val="00C64531"/>
    <w:rsid w:val="00C66BBD"/>
    <w:rsid w:val="00C7695A"/>
    <w:rsid w:val="00C81266"/>
    <w:rsid w:val="00C82755"/>
    <w:rsid w:val="00C84390"/>
    <w:rsid w:val="00C85038"/>
    <w:rsid w:val="00C93320"/>
    <w:rsid w:val="00CA0B23"/>
    <w:rsid w:val="00CA1B32"/>
    <w:rsid w:val="00CA3F06"/>
    <w:rsid w:val="00CA4B86"/>
    <w:rsid w:val="00CA714F"/>
    <w:rsid w:val="00CB194E"/>
    <w:rsid w:val="00CB7E5D"/>
    <w:rsid w:val="00CC183E"/>
    <w:rsid w:val="00CC25F4"/>
    <w:rsid w:val="00CC2869"/>
    <w:rsid w:val="00CC3DE6"/>
    <w:rsid w:val="00CC678F"/>
    <w:rsid w:val="00CD6EEE"/>
    <w:rsid w:val="00CF32C4"/>
    <w:rsid w:val="00CF4D0A"/>
    <w:rsid w:val="00D101B2"/>
    <w:rsid w:val="00D16A83"/>
    <w:rsid w:val="00D21786"/>
    <w:rsid w:val="00D25AD9"/>
    <w:rsid w:val="00D417BE"/>
    <w:rsid w:val="00D4351B"/>
    <w:rsid w:val="00D5160E"/>
    <w:rsid w:val="00D54489"/>
    <w:rsid w:val="00D56BE8"/>
    <w:rsid w:val="00D57335"/>
    <w:rsid w:val="00D60E1A"/>
    <w:rsid w:val="00D61F7C"/>
    <w:rsid w:val="00D6759E"/>
    <w:rsid w:val="00D723CB"/>
    <w:rsid w:val="00D747A5"/>
    <w:rsid w:val="00D837F8"/>
    <w:rsid w:val="00D83903"/>
    <w:rsid w:val="00D92392"/>
    <w:rsid w:val="00DA01C8"/>
    <w:rsid w:val="00DA2571"/>
    <w:rsid w:val="00DA340C"/>
    <w:rsid w:val="00DA68EE"/>
    <w:rsid w:val="00DA7E6C"/>
    <w:rsid w:val="00DB0D0F"/>
    <w:rsid w:val="00DB1531"/>
    <w:rsid w:val="00DB206F"/>
    <w:rsid w:val="00DB2493"/>
    <w:rsid w:val="00DB422D"/>
    <w:rsid w:val="00DB58CD"/>
    <w:rsid w:val="00DB71B4"/>
    <w:rsid w:val="00DC2293"/>
    <w:rsid w:val="00DC36A0"/>
    <w:rsid w:val="00DC7BB0"/>
    <w:rsid w:val="00DD1990"/>
    <w:rsid w:val="00DD4AC5"/>
    <w:rsid w:val="00DE4BA1"/>
    <w:rsid w:val="00DF13F2"/>
    <w:rsid w:val="00DF21E7"/>
    <w:rsid w:val="00DF375F"/>
    <w:rsid w:val="00DF5D7D"/>
    <w:rsid w:val="00DF77C1"/>
    <w:rsid w:val="00E0120E"/>
    <w:rsid w:val="00E061D7"/>
    <w:rsid w:val="00E11462"/>
    <w:rsid w:val="00E15C9C"/>
    <w:rsid w:val="00E21AD0"/>
    <w:rsid w:val="00E245E9"/>
    <w:rsid w:val="00E26A87"/>
    <w:rsid w:val="00E32417"/>
    <w:rsid w:val="00E34DE0"/>
    <w:rsid w:val="00E37152"/>
    <w:rsid w:val="00E400F9"/>
    <w:rsid w:val="00E42AB3"/>
    <w:rsid w:val="00E46DCA"/>
    <w:rsid w:val="00E504AD"/>
    <w:rsid w:val="00E51FB6"/>
    <w:rsid w:val="00E54C95"/>
    <w:rsid w:val="00E633C2"/>
    <w:rsid w:val="00E679D5"/>
    <w:rsid w:val="00E70B22"/>
    <w:rsid w:val="00E7274E"/>
    <w:rsid w:val="00E732EB"/>
    <w:rsid w:val="00E91118"/>
    <w:rsid w:val="00EA7AF4"/>
    <w:rsid w:val="00EB37E8"/>
    <w:rsid w:val="00EC52E0"/>
    <w:rsid w:val="00EE315F"/>
    <w:rsid w:val="00EE73BF"/>
    <w:rsid w:val="00EF3B96"/>
    <w:rsid w:val="00F00D1C"/>
    <w:rsid w:val="00F01878"/>
    <w:rsid w:val="00F10FFC"/>
    <w:rsid w:val="00F11546"/>
    <w:rsid w:val="00F12846"/>
    <w:rsid w:val="00F14132"/>
    <w:rsid w:val="00F169D1"/>
    <w:rsid w:val="00F17302"/>
    <w:rsid w:val="00F22B11"/>
    <w:rsid w:val="00F27AF0"/>
    <w:rsid w:val="00F27AF5"/>
    <w:rsid w:val="00F30B21"/>
    <w:rsid w:val="00F44F9F"/>
    <w:rsid w:val="00F46498"/>
    <w:rsid w:val="00F56B72"/>
    <w:rsid w:val="00F60E6F"/>
    <w:rsid w:val="00F610B1"/>
    <w:rsid w:val="00F64105"/>
    <w:rsid w:val="00F76255"/>
    <w:rsid w:val="00F8112C"/>
    <w:rsid w:val="00F82707"/>
    <w:rsid w:val="00F906A3"/>
    <w:rsid w:val="00FA10FC"/>
    <w:rsid w:val="00FA2879"/>
    <w:rsid w:val="00FA3239"/>
    <w:rsid w:val="00FB3E7A"/>
    <w:rsid w:val="00FB4F4A"/>
    <w:rsid w:val="00FB79A8"/>
    <w:rsid w:val="00FB7B54"/>
    <w:rsid w:val="00FC1D33"/>
    <w:rsid w:val="00FC5ED4"/>
    <w:rsid w:val="00FC71D0"/>
    <w:rsid w:val="00FC7C2A"/>
    <w:rsid w:val="00FD4809"/>
    <w:rsid w:val="00FE3CC0"/>
    <w:rsid w:val="00FE66AF"/>
    <w:rsid w:val="00FF1405"/>
    <w:rsid w:val="00FF4F62"/>
    <w:rsid w:val="00FF7A8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88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2573C3"/>
    <w:pPr>
      <w:spacing w:after="120"/>
    </w:pPr>
    <w:rPr>
      <w:rFonts w:eastAsiaTheme="minorEastAsia"/>
      <w:lang w:bidi="en-US"/>
    </w:rPr>
  </w:style>
  <w:style w:type="paragraph" w:styleId="Heading1">
    <w:name w:val="heading 1"/>
    <w:basedOn w:val="Normal"/>
    <w:next w:val="ppBodyText"/>
    <w:link w:val="Heading1Char"/>
    <w:qFormat/>
    <w:rsid w:val="002573C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2573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2573C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2573C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573C3"/>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2573C3"/>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2573C3"/>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2573C3"/>
    <w:rPr>
      <w:rFonts w:asciiTheme="majorHAnsi" w:eastAsiaTheme="majorEastAsia" w:hAnsiTheme="majorHAnsi" w:cstheme="majorBidi"/>
      <w:b/>
      <w:bCs/>
      <w:i/>
      <w:iCs/>
      <w:color w:val="4F81BD" w:themeColor="accent1"/>
      <w:lang w:bidi="en-US"/>
    </w:rPr>
  </w:style>
  <w:style w:type="paragraph" w:customStyle="1" w:styleId="ppBodyText">
    <w:name w:val="pp Body Text"/>
    <w:link w:val="ppBodyTextChar"/>
    <w:qFormat/>
    <w:rsid w:val="002573C3"/>
    <w:pPr>
      <w:numPr>
        <w:ilvl w:val="1"/>
        <w:numId w:val="18"/>
      </w:numPr>
      <w:spacing w:after="120"/>
    </w:pPr>
    <w:rPr>
      <w:rFonts w:eastAsiaTheme="minorEastAsia"/>
      <w:lang w:bidi="en-US"/>
    </w:rPr>
  </w:style>
  <w:style w:type="paragraph" w:customStyle="1" w:styleId="ppBodyTextIndent">
    <w:name w:val="pp Body Text Indent"/>
    <w:basedOn w:val="ppBodyText"/>
    <w:rsid w:val="002573C3"/>
    <w:pPr>
      <w:numPr>
        <w:ilvl w:val="2"/>
      </w:numPr>
    </w:pPr>
  </w:style>
  <w:style w:type="paragraph" w:customStyle="1" w:styleId="ppBodyTextIndent2">
    <w:name w:val="pp Body Text Indent 2"/>
    <w:basedOn w:val="ppBodyTextIndent"/>
    <w:rsid w:val="002573C3"/>
    <w:pPr>
      <w:numPr>
        <w:ilvl w:val="3"/>
      </w:numPr>
    </w:pPr>
  </w:style>
  <w:style w:type="paragraph" w:customStyle="1" w:styleId="ppBulletList">
    <w:name w:val="pp Bullet List"/>
    <w:basedOn w:val="ppNumberList"/>
    <w:link w:val="ppBulletListChar"/>
    <w:qFormat/>
    <w:rsid w:val="002573C3"/>
    <w:pPr>
      <w:numPr>
        <w:numId w:val="3"/>
      </w:numPr>
      <w:tabs>
        <w:tab w:val="clear" w:pos="1440"/>
      </w:tabs>
      <w:ind w:left="754" w:hanging="357"/>
    </w:pPr>
  </w:style>
  <w:style w:type="paragraph" w:customStyle="1" w:styleId="ppBulletListIndent">
    <w:name w:val="pp Bullet List Indent"/>
    <w:basedOn w:val="ppBulletList"/>
    <w:rsid w:val="002573C3"/>
    <w:pPr>
      <w:numPr>
        <w:ilvl w:val="2"/>
      </w:numPr>
      <w:ind w:left="1434" w:hanging="357"/>
    </w:pPr>
  </w:style>
  <w:style w:type="paragraph" w:customStyle="1" w:styleId="ppBulletListTable">
    <w:name w:val="pp Bullet List Table"/>
    <w:basedOn w:val="Normal"/>
    <w:uiPriority w:val="11"/>
    <w:rsid w:val="002573C3"/>
    <w:pPr>
      <w:numPr>
        <w:numId w:val="1"/>
      </w:numPr>
      <w:tabs>
        <w:tab w:val="left" w:pos="403"/>
      </w:tabs>
      <w:spacing w:before="100"/>
    </w:pPr>
    <w:rPr>
      <w:sz w:val="18"/>
    </w:rPr>
  </w:style>
  <w:style w:type="paragraph" w:customStyle="1" w:styleId="ppChapterNumber">
    <w:name w:val="pp Chapter Number"/>
    <w:next w:val="Normal"/>
    <w:uiPriority w:val="14"/>
    <w:rsid w:val="002573C3"/>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2573C3"/>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2573C3"/>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2573C3"/>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
    <w:name w:val="pp Code"/>
    <w:qFormat/>
    <w:rsid w:val="002573C3"/>
    <w:pPr>
      <w:numPr>
        <w:ilvl w:val="1"/>
        <w:numId w:val="4"/>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2573C3"/>
    <w:pPr>
      <w:numPr>
        <w:ilvl w:val="2"/>
      </w:numPr>
      <w:ind w:left="720"/>
    </w:pPr>
  </w:style>
  <w:style w:type="paragraph" w:customStyle="1" w:styleId="ppCodeIndent2">
    <w:name w:val="pp Code Indent 2"/>
    <w:basedOn w:val="ppCodeIndent"/>
    <w:rsid w:val="002573C3"/>
    <w:pPr>
      <w:numPr>
        <w:ilvl w:val="3"/>
      </w:numPr>
      <w:ind w:left="1440"/>
    </w:pPr>
  </w:style>
  <w:style w:type="paragraph" w:customStyle="1" w:styleId="ppCodeLanguage">
    <w:name w:val="pp Code Language"/>
    <w:basedOn w:val="Normal"/>
    <w:next w:val="ppCode"/>
    <w:qFormat/>
    <w:rsid w:val="002573C3"/>
    <w:pPr>
      <w:numPr>
        <w:ilvl w:val="1"/>
        <w:numId w:val="5"/>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2573C3"/>
    <w:pPr>
      <w:numPr>
        <w:ilvl w:val="2"/>
      </w:numPr>
      <w:ind w:left="720"/>
    </w:pPr>
  </w:style>
  <w:style w:type="paragraph" w:customStyle="1" w:styleId="ppCodeLanguageIndent2">
    <w:name w:val="pp Code Language Indent 2"/>
    <w:basedOn w:val="ppCodeLanguageIndent"/>
    <w:next w:val="ppCodeIndent2"/>
    <w:rsid w:val="002573C3"/>
    <w:pPr>
      <w:numPr>
        <w:ilvl w:val="3"/>
      </w:numPr>
      <w:ind w:left="1440"/>
    </w:pPr>
  </w:style>
  <w:style w:type="paragraph" w:customStyle="1" w:styleId="ppCodeLanguageTable">
    <w:name w:val="pp Code Language Table"/>
    <w:basedOn w:val="ppCodeLanguage"/>
    <w:next w:val="Normal"/>
    <w:rsid w:val="002573C3"/>
    <w:pPr>
      <w:numPr>
        <w:ilvl w:val="0"/>
        <w:numId w:val="0"/>
      </w:numPr>
    </w:pPr>
  </w:style>
  <w:style w:type="paragraph" w:customStyle="1" w:styleId="ppCodeTable">
    <w:name w:val="pp Code Table"/>
    <w:basedOn w:val="ppCode"/>
    <w:rsid w:val="002573C3"/>
    <w:pPr>
      <w:numPr>
        <w:ilvl w:val="0"/>
        <w:numId w:val="0"/>
      </w:numPr>
    </w:pPr>
  </w:style>
  <w:style w:type="paragraph" w:customStyle="1" w:styleId="ppFigure">
    <w:name w:val="pp Figure"/>
    <w:basedOn w:val="Normal"/>
    <w:next w:val="Normal"/>
    <w:qFormat/>
    <w:rsid w:val="002573C3"/>
    <w:pPr>
      <w:numPr>
        <w:ilvl w:val="1"/>
        <w:numId w:val="7"/>
      </w:numPr>
      <w:spacing w:after="0"/>
      <w:ind w:left="0"/>
    </w:pPr>
  </w:style>
  <w:style w:type="paragraph" w:customStyle="1" w:styleId="ppFigureCaption">
    <w:name w:val="pp Figure Caption"/>
    <w:basedOn w:val="Normal"/>
    <w:next w:val="ppBodyText"/>
    <w:qFormat/>
    <w:rsid w:val="002573C3"/>
    <w:pPr>
      <w:numPr>
        <w:ilvl w:val="1"/>
        <w:numId w:val="6"/>
      </w:numPr>
      <w:ind w:left="0"/>
    </w:pPr>
    <w:rPr>
      <w:i/>
    </w:rPr>
  </w:style>
  <w:style w:type="paragraph" w:customStyle="1" w:styleId="ppFigureCaptionIndent">
    <w:name w:val="pp Figure Caption Indent"/>
    <w:basedOn w:val="ppFigureCaption"/>
    <w:next w:val="ppBodyTextIndent"/>
    <w:rsid w:val="002573C3"/>
    <w:pPr>
      <w:numPr>
        <w:ilvl w:val="2"/>
      </w:numPr>
      <w:ind w:left="720"/>
    </w:pPr>
  </w:style>
  <w:style w:type="paragraph" w:customStyle="1" w:styleId="ppFigureCaptionIndent2">
    <w:name w:val="pp Figure Caption Indent 2"/>
    <w:basedOn w:val="ppFigureCaptionIndent"/>
    <w:next w:val="ppBodyTextIndent2"/>
    <w:rsid w:val="002573C3"/>
    <w:pPr>
      <w:numPr>
        <w:ilvl w:val="3"/>
      </w:numPr>
      <w:ind w:left="1440"/>
    </w:pPr>
  </w:style>
  <w:style w:type="paragraph" w:customStyle="1" w:styleId="ppFigureIndent">
    <w:name w:val="pp Figure Indent"/>
    <w:basedOn w:val="ppFigure"/>
    <w:next w:val="Normal"/>
    <w:rsid w:val="002573C3"/>
    <w:pPr>
      <w:numPr>
        <w:ilvl w:val="2"/>
      </w:numPr>
      <w:ind w:left="720"/>
    </w:pPr>
  </w:style>
  <w:style w:type="paragraph" w:customStyle="1" w:styleId="ppFigureIndent2">
    <w:name w:val="pp Figure Indent 2"/>
    <w:basedOn w:val="ppFigureIndent"/>
    <w:next w:val="Normal"/>
    <w:rsid w:val="002573C3"/>
    <w:pPr>
      <w:numPr>
        <w:ilvl w:val="3"/>
      </w:numPr>
      <w:ind w:left="1440"/>
    </w:pPr>
  </w:style>
  <w:style w:type="paragraph" w:customStyle="1" w:styleId="ppFigureNumber">
    <w:name w:val="pp Figure Number"/>
    <w:basedOn w:val="Normal"/>
    <w:next w:val="ppFigureCaption"/>
    <w:rsid w:val="002573C3"/>
    <w:pPr>
      <w:numPr>
        <w:ilvl w:val="1"/>
        <w:numId w:val="8"/>
      </w:numPr>
      <w:spacing w:after="0"/>
      <w:ind w:left="0"/>
    </w:pPr>
    <w:rPr>
      <w:b/>
    </w:rPr>
  </w:style>
  <w:style w:type="paragraph" w:customStyle="1" w:styleId="ppFigureNumberIndent">
    <w:name w:val="pp Figure Number Indent"/>
    <w:basedOn w:val="ppFigureNumber"/>
    <w:next w:val="ppFigureCaptionIndent"/>
    <w:rsid w:val="002573C3"/>
    <w:pPr>
      <w:numPr>
        <w:ilvl w:val="2"/>
      </w:numPr>
      <w:ind w:left="720"/>
    </w:pPr>
  </w:style>
  <w:style w:type="paragraph" w:customStyle="1" w:styleId="ppFigureNumberIndent2">
    <w:name w:val="pp Figure Number Indent 2"/>
    <w:basedOn w:val="ppFigureNumberIndent"/>
    <w:next w:val="ppFigureCaptionIndent2"/>
    <w:rsid w:val="002573C3"/>
    <w:pPr>
      <w:numPr>
        <w:ilvl w:val="3"/>
      </w:numPr>
      <w:ind w:left="1440"/>
    </w:pPr>
  </w:style>
  <w:style w:type="paragraph" w:customStyle="1" w:styleId="ppListBodyText">
    <w:name w:val="pp List Body Text"/>
    <w:basedOn w:val="Normal"/>
    <w:rsid w:val="002573C3"/>
  </w:style>
  <w:style w:type="paragraph" w:customStyle="1" w:styleId="ppNumberList">
    <w:name w:val="pp Number List"/>
    <w:basedOn w:val="Normal"/>
    <w:rsid w:val="002573C3"/>
    <w:pPr>
      <w:numPr>
        <w:ilvl w:val="1"/>
        <w:numId w:val="10"/>
      </w:numPr>
      <w:tabs>
        <w:tab w:val="left" w:pos="1440"/>
      </w:tabs>
      <w:ind w:left="754" w:hanging="357"/>
    </w:pPr>
  </w:style>
  <w:style w:type="paragraph" w:customStyle="1" w:styleId="ppListEnd">
    <w:name w:val="pp List End"/>
    <w:basedOn w:val="ppNumberList"/>
    <w:next w:val="ppBodyText"/>
    <w:rsid w:val="002573C3"/>
    <w:pPr>
      <w:numPr>
        <w:ilvl w:val="0"/>
      </w:numPr>
      <w:pBdr>
        <w:top w:val="single" w:sz="2" w:space="1" w:color="C0C0C0"/>
      </w:pBdr>
      <w:tabs>
        <w:tab w:val="clear" w:pos="1440"/>
      </w:tabs>
      <w:spacing w:line="80" w:lineRule="exact"/>
      <w:ind w:right="4320"/>
      <w:jc w:val="right"/>
    </w:pPr>
    <w:rPr>
      <w:sz w:val="12"/>
      <w:szCs w:val="20"/>
    </w:rPr>
  </w:style>
  <w:style w:type="paragraph" w:customStyle="1" w:styleId="ppNote">
    <w:name w:val="pp Note"/>
    <w:basedOn w:val="Normal"/>
    <w:qFormat/>
    <w:rsid w:val="002573C3"/>
    <w:pPr>
      <w:numPr>
        <w:ilvl w:val="1"/>
        <w:numId w:val="9"/>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Bullet">
    <w:name w:val="pp Note Bullet"/>
    <w:basedOn w:val="ppNote"/>
    <w:rsid w:val="002573C3"/>
    <w:pPr>
      <w:numPr>
        <w:ilvl w:val="0"/>
        <w:numId w:val="0"/>
      </w:numPr>
    </w:pPr>
  </w:style>
  <w:style w:type="paragraph" w:customStyle="1" w:styleId="ppNoteIndent">
    <w:name w:val="pp Note Indent"/>
    <w:basedOn w:val="ppNote"/>
    <w:rsid w:val="002573C3"/>
    <w:pPr>
      <w:numPr>
        <w:ilvl w:val="2"/>
      </w:numPr>
      <w:ind w:left="862"/>
    </w:pPr>
  </w:style>
  <w:style w:type="paragraph" w:customStyle="1" w:styleId="ppNoteIndent2">
    <w:name w:val="pp Note Indent 2"/>
    <w:basedOn w:val="ppNoteIndent"/>
    <w:rsid w:val="002573C3"/>
    <w:pPr>
      <w:numPr>
        <w:ilvl w:val="3"/>
      </w:numPr>
      <w:ind w:left="1584"/>
    </w:pPr>
  </w:style>
  <w:style w:type="paragraph" w:customStyle="1" w:styleId="ppNumberListIndent">
    <w:name w:val="pp Number List Indent"/>
    <w:basedOn w:val="ppNumberList"/>
    <w:rsid w:val="002573C3"/>
    <w:pPr>
      <w:numPr>
        <w:ilvl w:val="2"/>
      </w:numPr>
      <w:tabs>
        <w:tab w:val="clear" w:pos="1440"/>
        <w:tab w:val="left" w:pos="2160"/>
      </w:tabs>
      <w:ind w:left="1434" w:hanging="357"/>
    </w:pPr>
  </w:style>
  <w:style w:type="paragraph" w:customStyle="1" w:styleId="ppNumberListTable">
    <w:name w:val="pp Number List Table"/>
    <w:basedOn w:val="ppNumberList"/>
    <w:rsid w:val="002573C3"/>
    <w:pPr>
      <w:numPr>
        <w:ilvl w:val="0"/>
        <w:numId w:val="0"/>
      </w:numPr>
      <w:tabs>
        <w:tab w:val="left" w:pos="403"/>
      </w:tabs>
    </w:pPr>
    <w:rPr>
      <w:sz w:val="18"/>
    </w:rPr>
  </w:style>
  <w:style w:type="paragraph" w:customStyle="1" w:styleId="ppProcedureStart">
    <w:name w:val="pp Procedure Start"/>
    <w:basedOn w:val="Normal"/>
    <w:next w:val="ppNumberList"/>
    <w:rsid w:val="002573C3"/>
    <w:pPr>
      <w:spacing w:before="80" w:after="80"/>
    </w:pPr>
    <w:rPr>
      <w:rFonts w:cs="Arial"/>
      <w:b/>
      <w:szCs w:val="20"/>
    </w:rPr>
  </w:style>
  <w:style w:type="paragraph" w:customStyle="1" w:styleId="ppSection">
    <w:name w:val="pp Section"/>
    <w:basedOn w:val="Heading1"/>
    <w:next w:val="Normal"/>
    <w:rsid w:val="002573C3"/>
    <w:rPr>
      <w:color w:val="333399"/>
    </w:rPr>
  </w:style>
  <w:style w:type="paragraph" w:customStyle="1" w:styleId="ppShowMe">
    <w:name w:val="pp Show Me"/>
    <w:basedOn w:val="Normal"/>
    <w:next w:val="ppBodyText"/>
    <w:rsid w:val="002573C3"/>
    <w:rPr>
      <w:rFonts w:ascii="Britannic Bold" w:hAnsi="Britannic Bold"/>
      <w:color w:val="000080"/>
      <w:szCs w:val="20"/>
    </w:rPr>
  </w:style>
  <w:style w:type="table" w:customStyle="1" w:styleId="ppTableGrid">
    <w:name w:val="pp Table Grid"/>
    <w:basedOn w:val="ppTableList"/>
    <w:rsid w:val="002573C3"/>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2573C3"/>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2573C3"/>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2573C3"/>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ppBodyText"/>
    <w:rsid w:val="002573C3"/>
  </w:style>
  <w:style w:type="table" w:styleId="TableGrid">
    <w:name w:val="Table Grid"/>
    <w:basedOn w:val="TableNormal"/>
    <w:rsid w:val="002573C3"/>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2573C3"/>
    <w:rPr>
      <w:szCs w:val="20"/>
    </w:rPr>
  </w:style>
  <w:style w:type="character" w:customStyle="1" w:styleId="FootnoteTextChar">
    <w:name w:val="Footnote Text Char"/>
    <w:basedOn w:val="DefaultParagraphFont"/>
    <w:link w:val="FootnoteText"/>
    <w:uiPriority w:val="99"/>
    <w:rsid w:val="002573C3"/>
    <w:rPr>
      <w:rFonts w:eastAsiaTheme="minorEastAsia"/>
      <w:szCs w:val="20"/>
      <w:lang w:bidi="en-US"/>
    </w:rPr>
  </w:style>
  <w:style w:type="paragraph" w:styleId="Header">
    <w:name w:val="header"/>
    <w:basedOn w:val="Normal"/>
    <w:link w:val="HeaderChar"/>
    <w:uiPriority w:val="99"/>
    <w:unhideWhenUsed/>
    <w:rsid w:val="002573C3"/>
    <w:pPr>
      <w:tabs>
        <w:tab w:val="center" w:pos="4680"/>
        <w:tab w:val="right" w:pos="9360"/>
      </w:tabs>
    </w:pPr>
  </w:style>
  <w:style w:type="character" w:customStyle="1" w:styleId="HeaderChar">
    <w:name w:val="Header Char"/>
    <w:basedOn w:val="DefaultParagraphFont"/>
    <w:link w:val="Header"/>
    <w:uiPriority w:val="99"/>
    <w:rsid w:val="002573C3"/>
    <w:rPr>
      <w:rFonts w:eastAsiaTheme="minorEastAsia"/>
      <w:lang w:bidi="en-US"/>
    </w:rPr>
  </w:style>
  <w:style w:type="paragraph" w:styleId="Footer">
    <w:name w:val="footer"/>
    <w:basedOn w:val="Normal"/>
    <w:link w:val="FooterChar"/>
    <w:uiPriority w:val="99"/>
    <w:semiHidden/>
    <w:unhideWhenUsed/>
    <w:rsid w:val="002573C3"/>
    <w:pPr>
      <w:tabs>
        <w:tab w:val="center" w:pos="4680"/>
        <w:tab w:val="right" w:pos="9360"/>
      </w:tabs>
    </w:pPr>
  </w:style>
  <w:style w:type="character" w:customStyle="1" w:styleId="FooterChar">
    <w:name w:val="Footer Char"/>
    <w:basedOn w:val="DefaultParagraphFont"/>
    <w:link w:val="Footer"/>
    <w:uiPriority w:val="99"/>
    <w:semiHidden/>
    <w:rsid w:val="002573C3"/>
    <w:rPr>
      <w:rFonts w:eastAsiaTheme="minorEastAsia"/>
      <w:lang w:bidi="en-US"/>
    </w:rPr>
  </w:style>
  <w:style w:type="character" w:customStyle="1" w:styleId="ppBulletListChar">
    <w:name w:val="pp Bullet List Char"/>
    <w:basedOn w:val="DefaultParagraphFont"/>
    <w:link w:val="ppBulletList"/>
    <w:rsid w:val="002573C3"/>
    <w:rPr>
      <w:rFonts w:eastAsiaTheme="minorEastAsia"/>
      <w:lang w:bidi="en-US"/>
    </w:rPr>
  </w:style>
  <w:style w:type="paragraph" w:styleId="Title">
    <w:name w:val="Title"/>
    <w:basedOn w:val="Normal"/>
    <w:next w:val="Normal"/>
    <w:link w:val="TitleChar"/>
    <w:uiPriority w:val="10"/>
    <w:qFormat/>
    <w:rsid w:val="002573C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573C3"/>
    <w:rPr>
      <w:rFonts w:asciiTheme="majorHAnsi" w:eastAsiaTheme="majorEastAsia" w:hAnsiTheme="majorHAnsi" w:cstheme="majorBidi"/>
      <w:color w:val="17365D" w:themeColor="text2" w:themeShade="BF"/>
      <w:spacing w:val="5"/>
      <w:kern w:val="28"/>
      <w:sz w:val="52"/>
      <w:szCs w:val="52"/>
      <w:lang w:bidi="en-US"/>
    </w:rPr>
  </w:style>
  <w:style w:type="character" w:styleId="PlaceholderText">
    <w:name w:val="Placeholder Text"/>
    <w:basedOn w:val="DefaultParagraphFont"/>
    <w:uiPriority w:val="99"/>
    <w:semiHidden/>
    <w:rsid w:val="002573C3"/>
    <w:rPr>
      <w:color w:val="808080"/>
    </w:rPr>
  </w:style>
  <w:style w:type="paragraph" w:styleId="BalloonText">
    <w:name w:val="Balloon Text"/>
    <w:basedOn w:val="Normal"/>
    <w:link w:val="BalloonTextChar"/>
    <w:uiPriority w:val="99"/>
    <w:semiHidden/>
    <w:unhideWhenUsed/>
    <w:rsid w:val="002573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73C3"/>
    <w:rPr>
      <w:rFonts w:ascii="Tahoma" w:eastAsiaTheme="minorEastAsia" w:hAnsi="Tahoma" w:cs="Tahoma"/>
      <w:sz w:val="16"/>
      <w:szCs w:val="16"/>
      <w:lang w:bidi="en-US"/>
    </w:rPr>
  </w:style>
  <w:style w:type="paragraph" w:styleId="Caption">
    <w:name w:val="caption"/>
    <w:basedOn w:val="Normal"/>
    <w:next w:val="Normal"/>
    <w:uiPriority w:val="35"/>
    <w:unhideWhenUsed/>
    <w:qFormat/>
    <w:rsid w:val="002573C3"/>
    <w:pPr>
      <w:spacing w:after="200" w:line="240" w:lineRule="auto"/>
    </w:pPr>
    <w:rPr>
      <w:b/>
      <w:bCs/>
      <w:color w:val="4F81BD" w:themeColor="accent1"/>
      <w:sz w:val="18"/>
      <w:szCs w:val="18"/>
    </w:rPr>
  </w:style>
  <w:style w:type="table" w:customStyle="1" w:styleId="ppTable">
    <w:name w:val="pp Table"/>
    <w:basedOn w:val="TableNormal"/>
    <w:uiPriority w:val="99"/>
    <w:rsid w:val="002573C3"/>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2573C3"/>
    <w:pPr>
      <w:numPr>
        <w:ilvl w:val="4"/>
      </w:numPr>
    </w:pPr>
  </w:style>
  <w:style w:type="paragraph" w:customStyle="1" w:styleId="ppBulletListIndent2">
    <w:name w:val="pp Bullet List Indent 2"/>
    <w:basedOn w:val="ppBulletListIndent"/>
    <w:qFormat/>
    <w:rsid w:val="002573C3"/>
    <w:pPr>
      <w:numPr>
        <w:ilvl w:val="3"/>
      </w:numPr>
      <w:ind w:left="2115" w:hanging="357"/>
    </w:pPr>
  </w:style>
  <w:style w:type="paragraph" w:customStyle="1" w:styleId="ppNumberListIndent2">
    <w:name w:val="pp Number List Indent 2"/>
    <w:basedOn w:val="ppNumberListIndent"/>
    <w:qFormat/>
    <w:rsid w:val="002573C3"/>
    <w:pPr>
      <w:numPr>
        <w:ilvl w:val="3"/>
      </w:numPr>
      <w:ind w:left="2115" w:hanging="357"/>
    </w:pPr>
  </w:style>
  <w:style w:type="paragraph" w:customStyle="1" w:styleId="ppCodeIndent3">
    <w:name w:val="pp Code Indent 3"/>
    <w:basedOn w:val="ppCodeIndent2"/>
    <w:qFormat/>
    <w:rsid w:val="002573C3"/>
    <w:pPr>
      <w:numPr>
        <w:ilvl w:val="4"/>
      </w:numPr>
    </w:pPr>
  </w:style>
  <w:style w:type="paragraph" w:customStyle="1" w:styleId="ppCodeLanguageIndent3">
    <w:name w:val="pp Code Language Indent 3"/>
    <w:basedOn w:val="ppCodeLanguageIndent2"/>
    <w:next w:val="ppCodeIndent3"/>
    <w:qFormat/>
    <w:rsid w:val="002573C3"/>
    <w:pPr>
      <w:numPr>
        <w:ilvl w:val="4"/>
      </w:numPr>
    </w:pPr>
  </w:style>
  <w:style w:type="paragraph" w:customStyle="1" w:styleId="ppNoteIndent3">
    <w:name w:val="pp Note Indent 3"/>
    <w:basedOn w:val="ppNoteIndent2"/>
    <w:qFormat/>
    <w:rsid w:val="002573C3"/>
    <w:pPr>
      <w:numPr>
        <w:ilvl w:val="4"/>
      </w:numPr>
    </w:pPr>
  </w:style>
  <w:style w:type="paragraph" w:customStyle="1" w:styleId="ppFigureIndent3">
    <w:name w:val="pp Figure Indent 3"/>
    <w:basedOn w:val="ppFigureIndent2"/>
    <w:qFormat/>
    <w:rsid w:val="002573C3"/>
    <w:pPr>
      <w:numPr>
        <w:ilvl w:val="4"/>
      </w:numPr>
    </w:pPr>
  </w:style>
  <w:style w:type="paragraph" w:customStyle="1" w:styleId="ppFigureCaptionIndent3">
    <w:name w:val="pp Figure Caption Indent 3"/>
    <w:basedOn w:val="ppFigureCaptionIndent2"/>
    <w:qFormat/>
    <w:rsid w:val="002573C3"/>
    <w:pPr>
      <w:numPr>
        <w:ilvl w:val="4"/>
      </w:numPr>
    </w:pPr>
  </w:style>
  <w:style w:type="paragraph" w:customStyle="1" w:styleId="ppFigureNumberIndent3">
    <w:name w:val="pp Figure Number Indent 3"/>
    <w:basedOn w:val="ppFigureNumberIndent2"/>
    <w:qFormat/>
    <w:rsid w:val="002573C3"/>
    <w:pPr>
      <w:numPr>
        <w:ilvl w:val="4"/>
      </w:numPr>
      <w:ind w:left="2160" w:firstLine="0"/>
    </w:pPr>
  </w:style>
  <w:style w:type="paragraph" w:customStyle="1" w:styleId="Bodynoindent">
    <w:name w:val="Body no indent"/>
    <w:basedOn w:val="Normal"/>
    <w:next w:val="Normal"/>
    <w:rsid w:val="002573C3"/>
    <w:pPr>
      <w:widowControl w:val="0"/>
      <w:spacing w:line="-280" w:lineRule="auto"/>
    </w:pPr>
    <w:rPr>
      <w:rFonts w:ascii="Arial" w:eastAsia="Batang" w:hAnsi="Arial" w:cs="Times New Roman"/>
      <w:szCs w:val="20"/>
      <w:lang w:eastAsia="ko-KR"/>
    </w:rPr>
  </w:style>
  <w:style w:type="paragraph" w:customStyle="1" w:styleId="HOLDescription">
    <w:name w:val="HOL Description"/>
    <w:basedOn w:val="Heading3"/>
    <w:rsid w:val="002573C3"/>
    <w:pPr>
      <w:pBdr>
        <w:top w:val="thinThickSmallGap" w:sz="24" w:space="1" w:color="auto"/>
      </w:pBdr>
      <w:spacing w:before="0" w:line="240" w:lineRule="auto"/>
    </w:pPr>
    <w:rPr>
      <w:rFonts w:ascii="Times New Roman" w:eastAsia="Calibri" w:hAnsi="Times New Roman"/>
      <w:b w:val="0"/>
      <w:i/>
      <w:szCs w:val="20"/>
      <w:lang w:val="en-NZ"/>
    </w:rPr>
  </w:style>
  <w:style w:type="character" w:styleId="Hyperlink">
    <w:name w:val="Hyperlink"/>
    <w:basedOn w:val="DefaultParagraphFont"/>
    <w:uiPriority w:val="99"/>
    <w:rsid w:val="002573C3"/>
    <w:rPr>
      <w:rFonts w:cs="Times New Roman"/>
      <w:color w:val="0000FF"/>
      <w:u w:val="single"/>
    </w:rPr>
  </w:style>
  <w:style w:type="paragraph" w:customStyle="1" w:styleId="HOLTitle1">
    <w:name w:val="HOL Title 1"/>
    <w:basedOn w:val="Normal"/>
    <w:rsid w:val="002573C3"/>
    <w:pPr>
      <w:spacing w:after="0" w:line="240" w:lineRule="auto"/>
    </w:pPr>
    <w:rPr>
      <w:rFonts w:ascii="Arial Black" w:eastAsia="Batang" w:hAnsi="Arial Black" w:cs="Times New Roman"/>
      <w:sz w:val="72"/>
      <w:szCs w:val="20"/>
      <w:lang w:eastAsia="ko-KR"/>
    </w:rPr>
  </w:style>
  <w:style w:type="paragraph" w:styleId="TOC1">
    <w:name w:val="toc 1"/>
    <w:basedOn w:val="Normal"/>
    <w:next w:val="Normal"/>
    <w:autoRedefine/>
    <w:uiPriority w:val="39"/>
    <w:qFormat/>
    <w:rsid w:val="002573C3"/>
    <w:pPr>
      <w:tabs>
        <w:tab w:val="right" w:leader="dot" w:pos="9344"/>
      </w:tabs>
      <w:spacing w:before="280" w:after="0" w:line="280" w:lineRule="atLeast"/>
    </w:pPr>
    <w:rPr>
      <w:rFonts w:ascii="Arial" w:eastAsia="Batang" w:hAnsi="Arial" w:cs="Arial"/>
      <w:b/>
      <w:bCs/>
      <w:caps/>
      <w:noProof/>
      <w:sz w:val="20"/>
      <w:szCs w:val="20"/>
      <w:lang w:eastAsia="ko-KR"/>
    </w:rPr>
  </w:style>
  <w:style w:type="paragraph" w:styleId="TOC2">
    <w:name w:val="toc 2"/>
    <w:basedOn w:val="Normal"/>
    <w:next w:val="Normal"/>
    <w:autoRedefine/>
    <w:uiPriority w:val="39"/>
    <w:unhideWhenUsed/>
    <w:rsid w:val="002573C3"/>
    <w:pPr>
      <w:tabs>
        <w:tab w:val="right" w:pos="9344"/>
      </w:tabs>
      <w:spacing w:after="100"/>
      <w:ind w:left="220"/>
    </w:pPr>
    <w:rPr>
      <w:rFonts w:ascii="Arial" w:hAnsi="Arial"/>
      <w:sz w:val="20"/>
    </w:rPr>
  </w:style>
  <w:style w:type="character" w:customStyle="1" w:styleId="ppBodyTextChar">
    <w:name w:val="pp Body Text Char"/>
    <w:basedOn w:val="DefaultParagraphFont"/>
    <w:link w:val="ppBodyText"/>
    <w:locked/>
    <w:rsid w:val="002573C3"/>
    <w:rPr>
      <w:rFonts w:eastAsiaTheme="minorEastAsia"/>
      <w:lang w:bidi="en-US"/>
    </w:rPr>
  </w:style>
  <w:style w:type="paragraph" w:styleId="TOC3">
    <w:name w:val="toc 3"/>
    <w:basedOn w:val="Normal"/>
    <w:next w:val="Normal"/>
    <w:autoRedefine/>
    <w:uiPriority w:val="39"/>
    <w:unhideWhenUsed/>
    <w:rsid w:val="002573C3"/>
    <w:pPr>
      <w:spacing w:after="100"/>
      <w:ind w:left="440"/>
    </w:pPr>
  </w:style>
  <w:style w:type="character" w:styleId="CommentReference">
    <w:name w:val="annotation reference"/>
    <w:basedOn w:val="DefaultParagraphFont"/>
    <w:uiPriority w:val="99"/>
    <w:semiHidden/>
    <w:unhideWhenUsed/>
    <w:rsid w:val="009053BF"/>
    <w:rPr>
      <w:sz w:val="16"/>
      <w:szCs w:val="16"/>
    </w:rPr>
  </w:style>
  <w:style w:type="paragraph" w:styleId="CommentText">
    <w:name w:val="annotation text"/>
    <w:basedOn w:val="Normal"/>
    <w:link w:val="CommentTextChar"/>
    <w:uiPriority w:val="99"/>
    <w:semiHidden/>
    <w:unhideWhenUsed/>
    <w:rsid w:val="009053BF"/>
    <w:pPr>
      <w:spacing w:line="240" w:lineRule="auto"/>
    </w:pPr>
    <w:rPr>
      <w:sz w:val="20"/>
      <w:szCs w:val="20"/>
    </w:rPr>
  </w:style>
  <w:style w:type="character" w:customStyle="1" w:styleId="CommentTextChar">
    <w:name w:val="Comment Text Char"/>
    <w:basedOn w:val="DefaultParagraphFont"/>
    <w:link w:val="CommentText"/>
    <w:uiPriority w:val="99"/>
    <w:semiHidden/>
    <w:rsid w:val="009053BF"/>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9053BF"/>
    <w:rPr>
      <w:b/>
      <w:bCs/>
    </w:rPr>
  </w:style>
  <w:style w:type="character" w:customStyle="1" w:styleId="CommentSubjectChar">
    <w:name w:val="Comment Subject Char"/>
    <w:basedOn w:val="CommentTextChar"/>
    <w:link w:val="CommentSubject"/>
    <w:uiPriority w:val="99"/>
    <w:semiHidden/>
    <w:rsid w:val="009053BF"/>
    <w:rPr>
      <w:b/>
      <w:bCs/>
    </w:rPr>
  </w:style>
  <w:style w:type="paragraph" w:styleId="ListParagraph">
    <w:name w:val="List Paragraph"/>
    <w:basedOn w:val="Normal"/>
    <w:uiPriority w:val="34"/>
    <w:qFormat/>
    <w:rsid w:val="002D2EE8"/>
    <w:pPr>
      <w:spacing w:after="200"/>
      <w:ind w:left="720"/>
      <w:contextualSpacing/>
    </w:pPr>
    <w:rPr>
      <w:rFonts w:eastAsiaTheme="minorHAnsi"/>
      <w:lang w:val="en-NZ" w:bidi="ar-SA"/>
    </w:rPr>
  </w:style>
  <w:style w:type="character" w:styleId="FollowedHyperlink">
    <w:name w:val="FollowedHyperlink"/>
    <w:basedOn w:val="DefaultParagraphFont"/>
    <w:uiPriority w:val="99"/>
    <w:semiHidden/>
    <w:unhideWhenUsed/>
    <w:rsid w:val="002D2EE8"/>
    <w:rPr>
      <w:color w:val="800080" w:themeColor="followedHyperlink"/>
      <w:u w:val="single"/>
    </w:rPr>
  </w:style>
  <w:style w:type="paragraph" w:customStyle="1" w:styleId="Step">
    <w:name w:val="Step"/>
    <w:basedOn w:val="Normal"/>
    <w:link w:val="StepChar"/>
    <w:qFormat/>
    <w:rsid w:val="00800AB7"/>
    <w:pPr>
      <w:numPr>
        <w:numId w:val="21"/>
      </w:numPr>
      <w:spacing w:line="240" w:lineRule="auto"/>
      <w:outlineLvl w:val="1"/>
    </w:pPr>
    <w:rPr>
      <w:rFonts w:ascii="Arial" w:eastAsia="Times New Roman" w:hAnsi="Arial" w:cs="Arial"/>
      <w:lang w:bidi="ar-SA"/>
    </w:rPr>
  </w:style>
  <w:style w:type="character" w:customStyle="1" w:styleId="StepChar">
    <w:name w:val="Step Char"/>
    <w:basedOn w:val="DefaultParagraphFont"/>
    <w:link w:val="Step"/>
    <w:rsid w:val="00800AB7"/>
    <w:rPr>
      <w:rFonts w:ascii="Arial" w:eastAsia="Times New Roman" w:hAnsi="Arial" w:cs="Arial"/>
    </w:rPr>
  </w:style>
  <w:style w:type="character" w:styleId="PageNumber">
    <w:name w:val="page number"/>
    <w:basedOn w:val="DefaultParagraphFont"/>
    <w:rsid w:val="008A15C1"/>
  </w:style>
  <w:style w:type="paragraph" w:styleId="Revision">
    <w:name w:val="Revision"/>
    <w:hidden/>
    <w:uiPriority w:val="99"/>
    <w:semiHidden/>
    <w:rsid w:val="0086371F"/>
    <w:pPr>
      <w:spacing w:after="0" w:line="240" w:lineRule="auto"/>
    </w:pPr>
    <w:rPr>
      <w:rFonts w:eastAsiaTheme="minorEastAsia"/>
      <w:lang w:bidi="en-US"/>
    </w:rPr>
  </w:style>
</w:styles>
</file>

<file path=word/webSettings.xml><?xml version="1.0" encoding="utf-8"?>
<w:webSettings xmlns:r="http://schemas.openxmlformats.org/officeDocument/2006/relationships" xmlns:w="http://schemas.openxmlformats.org/wordprocessingml/2006/main">
  <w:divs>
    <w:div w:id="151265377">
      <w:bodyDiv w:val="1"/>
      <w:marLeft w:val="0"/>
      <w:marRight w:val="0"/>
      <w:marTop w:val="0"/>
      <w:marBottom w:val="0"/>
      <w:divBdr>
        <w:top w:val="none" w:sz="0" w:space="0" w:color="auto"/>
        <w:left w:val="none" w:sz="0" w:space="0" w:color="auto"/>
        <w:bottom w:val="none" w:sz="0" w:space="0" w:color="auto"/>
        <w:right w:val="none" w:sz="0" w:space="0" w:color="auto"/>
      </w:divBdr>
    </w:div>
    <w:div w:id="265118991">
      <w:bodyDiv w:val="1"/>
      <w:marLeft w:val="0"/>
      <w:marRight w:val="0"/>
      <w:marTop w:val="0"/>
      <w:marBottom w:val="0"/>
      <w:divBdr>
        <w:top w:val="none" w:sz="0" w:space="0" w:color="auto"/>
        <w:left w:val="none" w:sz="0" w:space="0" w:color="auto"/>
        <w:bottom w:val="none" w:sz="0" w:space="0" w:color="auto"/>
        <w:right w:val="none" w:sz="0" w:space="0" w:color="auto"/>
      </w:divBdr>
    </w:div>
    <w:div w:id="585111099">
      <w:bodyDiv w:val="1"/>
      <w:marLeft w:val="0"/>
      <w:marRight w:val="0"/>
      <w:marTop w:val="0"/>
      <w:marBottom w:val="0"/>
      <w:divBdr>
        <w:top w:val="none" w:sz="0" w:space="0" w:color="auto"/>
        <w:left w:val="none" w:sz="0" w:space="0" w:color="auto"/>
        <w:bottom w:val="none" w:sz="0" w:space="0" w:color="auto"/>
        <w:right w:val="none" w:sz="0" w:space="0" w:color="auto"/>
      </w:divBdr>
      <w:divsChild>
        <w:div w:id="544681908">
          <w:marLeft w:val="0"/>
          <w:marRight w:val="0"/>
          <w:marTop w:val="0"/>
          <w:marBottom w:val="0"/>
          <w:divBdr>
            <w:top w:val="none" w:sz="0" w:space="0" w:color="auto"/>
            <w:left w:val="none" w:sz="0" w:space="0" w:color="auto"/>
            <w:bottom w:val="none" w:sz="0" w:space="0" w:color="auto"/>
            <w:right w:val="none" w:sz="0" w:space="0" w:color="auto"/>
          </w:divBdr>
          <w:divsChild>
            <w:div w:id="65568564">
              <w:marLeft w:val="0"/>
              <w:marRight w:val="0"/>
              <w:marTop w:val="0"/>
              <w:marBottom w:val="0"/>
              <w:divBdr>
                <w:top w:val="none" w:sz="0" w:space="0" w:color="auto"/>
                <w:left w:val="none" w:sz="0" w:space="0" w:color="auto"/>
                <w:bottom w:val="none" w:sz="0" w:space="0" w:color="auto"/>
                <w:right w:val="none" w:sz="0" w:space="0" w:color="auto"/>
              </w:divBdr>
              <w:divsChild>
                <w:div w:id="551186580">
                  <w:marLeft w:val="0"/>
                  <w:marRight w:val="0"/>
                  <w:marTop w:val="0"/>
                  <w:marBottom w:val="0"/>
                  <w:divBdr>
                    <w:top w:val="none" w:sz="0" w:space="0" w:color="auto"/>
                    <w:left w:val="none" w:sz="0" w:space="0" w:color="auto"/>
                    <w:bottom w:val="none" w:sz="0" w:space="0" w:color="auto"/>
                    <w:right w:val="none" w:sz="0" w:space="0" w:color="auto"/>
                  </w:divBdr>
                  <w:divsChild>
                    <w:div w:id="1954166168">
                      <w:marLeft w:val="0"/>
                      <w:marRight w:val="0"/>
                      <w:marTop w:val="0"/>
                      <w:marBottom w:val="0"/>
                      <w:divBdr>
                        <w:top w:val="none" w:sz="0" w:space="0" w:color="auto"/>
                        <w:left w:val="none" w:sz="0" w:space="0" w:color="auto"/>
                        <w:bottom w:val="none" w:sz="0" w:space="0" w:color="auto"/>
                        <w:right w:val="none" w:sz="0" w:space="0" w:color="auto"/>
                      </w:divBdr>
                      <w:divsChild>
                        <w:div w:id="1256599425">
                          <w:marLeft w:val="0"/>
                          <w:marRight w:val="0"/>
                          <w:marTop w:val="0"/>
                          <w:marBottom w:val="0"/>
                          <w:divBdr>
                            <w:top w:val="single" w:sz="6" w:space="8" w:color="989896"/>
                            <w:left w:val="single" w:sz="6" w:space="8" w:color="989896"/>
                            <w:bottom w:val="single" w:sz="6" w:space="8" w:color="989896"/>
                            <w:right w:val="single" w:sz="6" w:space="8" w:color="989896"/>
                          </w:divBdr>
                        </w:div>
                      </w:divsChild>
                    </w:div>
                  </w:divsChild>
                </w:div>
              </w:divsChild>
            </w:div>
          </w:divsChild>
        </w:div>
      </w:divsChild>
    </w:div>
    <w:div w:id="643698076">
      <w:bodyDiv w:val="1"/>
      <w:marLeft w:val="0"/>
      <w:marRight w:val="0"/>
      <w:marTop w:val="0"/>
      <w:marBottom w:val="0"/>
      <w:divBdr>
        <w:top w:val="none" w:sz="0" w:space="0" w:color="auto"/>
        <w:left w:val="none" w:sz="0" w:space="0" w:color="auto"/>
        <w:bottom w:val="none" w:sz="0" w:space="0" w:color="auto"/>
        <w:right w:val="none" w:sz="0" w:space="0" w:color="auto"/>
      </w:divBdr>
      <w:divsChild>
        <w:div w:id="906917787">
          <w:marLeft w:val="0"/>
          <w:marRight w:val="0"/>
          <w:marTop w:val="0"/>
          <w:marBottom w:val="0"/>
          <w:divBdr>
            <w:top w:val="none" w:sz="0" w:space="0" w:color="auto"/>
            <w:left w:val="none" w:sz="0" w:space="0" w:color="auto"/>
            <w:bottom w:val="none" w:sz="0" w:space="0" w:color="auto"/>
            <w:right w:val="none" w:sz="0" w:space="0" w:color="auto"/>
          </w:divBdr>
          <w:divsChild>
            <w:div w:id="1071385499">
              <w:marLeft w:val="0"/>
              <w:marRight w:val="0"/>
              <w:marTop w:val="0"/>
              <w:marBottom w:val="0"/>
              <w:divBdr>
                <w:top w:val="none" w:sz="0" w:space="0" w:color="auto"/>
                <w:left w:val="none" w:sz="0" w:space="0" w:color="auto"/>
                <w:bottom w:val="none" w:sz="0" w:space="0" w:color="auto"/>
                <w:right w:val="none" w:sz="0" w:space="0" w:color="auto"/>
              </w:divBdr>
              <w:divsChild>
                <w:div w:id="15083701">
                  <w:marLeft w:val="0"/>
                  <w:marRight w:val="0"/>
                  <w:marTop w:val="0"/>
                  <w:marBottom w:val="0"/>
                  <w:divBdr>
                    <w:top w:val="none" w:sz="0" w:space="0" w:color="auto"/>
                    <w:left w:val="none" w:sz="0" w:space="0" w:color="auto"/>
                    <w:bottom w:val="none" w:sz="0" w:space="0" w:color="auto"/>
                    <w:right w:val="none" w:sz="0" w:space="0" w:color="auto"/>
                  </w:divBdr>
                  <w:divsChild>
                    <w:div w:id="295599957">
                      <w:marLeft w:val="0"/>
                      <w:marRight w:val="0"/>
                      <w:marTop w:val="0"/>
                      <w:marBottom w:val="0"/>
                      <w:divBdr>
                        <w:top w:val="none" w:sz="0" w:space="0" w:color="auto"/>
                        <w:left w:val="none" w:sz="0" w:space="0" w:color="auto"/>
                        <w:bottom w:val="none" w:sz="0" w:space="0" w:color="auto"/>
                        <w:right w:val="none" w:sz="0" w:space="0" w:color="auto"/>
                      </w:divBdr>
                      <w:divsChild>
                        <w:div w:id="294795305">
                          <w:marLeft w:val="0"/>
                          <w:marRight w:val="0"/>
                          <w:marTop w:val="0"/>
                          <w:marBottom w:val="0"/>
                          <w:divBdr>
                            <w:top w:val="single" w:sz="6" w:space="8" w:color="989896"/>
                            <w:left w:val="single" w:sz="6" w:space="8" w:color="989896"/>
                            <w:bottom w:val="single" w:sz="6" w:space="8" w:color="989896"/>
                            <w:right w:val="single" w:sz="6" w:space="8" w:color="989896"/>
                          </w:divBdr>
                        </w:div>
                      </w:divsChild>
                    </w:div>
                  </w:divsChild>
                </w:div>
              </w:divsChild>
            </w:div>
          </w:divsChild>
        </w:div>
      </w:divsChild>
    </w:div>
    <w:div w:id="657073074">
      <w:bodyDiv w:val="1"/>
      <w:marLeft w:val="0"/>
      <w:marRight w:val="0"/>
      <w:marTop w:val="0"/>
      <w:marBottom w:val="0"/>
      <w:divBdr>
        <w:top w:val="none" w:sz="0" w:space="0" w:color="auto"/>
        <w:left w:val="none" w:sz="0" w:space="0" w:color="auto"/>
        <w:bottom w:val="none" w:sz="0" w:space="0" w:color="auto"/>
        <w:right w:val="none" w:sz="0" w:space="0" w:color="auto"/>
      </w:divBdr>
    </w:div>
    <w:div w:id="1416589482">
      <w:bodyDiv w:val="1"/>
      <w:marLeft w:val="0"/>
      <w:marRight w:val="0"/>
      <w:marTop w:val="0"/>
      <w:marBottom w:val="0"/>
      <w:divBdr>
        <w:top w:val="none" w:sz="0" w:space="0" w:color="auto"/>
        <w:left w:val="none" w:sz="0" w:space="0" w:color="auto"/>
        <w:bottom w:val="none" w:sz="0" w:space="0" w:color="auto"/>
        <w:right w:val="none" w:sz="0" w:space="0" w:color="auto"/>
      </w:divBdr>
      <w:divsChild>
        <w:div w:id="1298880130">
          <w:marLeft w:val="0"/>
          <w:marRight w:val="0"/>
          <w:marTop w:val="0"/>
          <w:marBottom w:val="0"/>
          <w:divBdr>
            <w:top w:val="none" w:sz="0" w:space="0" w:color="auto"/>
            <w:left w:val="none" w:sz="0" w:space="0" w:color="auto"/>
            <w:bottom w:val="none" w:sz="0" w:space="0" w:color="auto"/>
            <w:right w:val="none" w:sz="0" w:space="0" w:color="auto"/>
          </w:divBdr>
          <w:divsChild>
            <w:div w:id="181676814">
              <w:marLeft w:val="0"/>
              <w:marRight w:val="0"/>
              <w:marTop w:val="0"/>
              <w:marBottom w:val="0"/>
              <w:divBdr>
                <w:top w:val="none" w:sz="0" w:space="0" w:color="auto"/>
                <w:left w:val="none" w:sz="0" w:space="0" w:color="auto"/>
                <w:bottom w:val="none" w:sz="0" w:space="0" w:color="auto"/>
                <w:right w:val="none" w:sz="0" w:space="0" w:color="auto"/>
              </w:divBdr>
              <w:divsChild>
                <w:div w:id="1510024662">
                  <w:marLeft w:val="0"/>
                  <w:marRight w:val="0"/>
                  <w:marTop w:val="0"/>
                  <w:marBottom w:val="0"/>
                  <w:divBdr>
                    <w:top w:val="none" w:sz="0" w:space="0" w:color="auto"/>
                    <w:left w:val="none" w:sz="0" w:space="0" w:color="auto"/>
                    <w:bottom w:val="none" w:sz="0" w:space="0" w:color="auto"/>
                    <w:right w:val="none" w:sz="0" w:space="0" w:color="auto"/>
                  </w:divBdr>
                  <w:divsChild>
                    <w:div w:id="1558469410">
                      <w:marLeft w:val="0"/>
                      <w:marRight w:val="0"/>
                      <w:marTop w:val="0"/>
                      <w:marBottom w:val="0"/>
                      <w:divBdr>
                        <w:top w:val="none" w:sz="0" w:space="0" w:color="auto"/>
                        <w:left w:val="none" w:sz="0" w:space="0" w:color="auto"/>
                        <w:bottom w:val="none" w:sz="0" w:space="0" w:color="auto"/>
                        <w:right w:val="none" w:sz="0" w:space="0" w:color="auto"/>
                      </w:divBdr>
                      <w:divsChild>
                        <w:div w:id="1717898747">
                          <w:marLeft w:val="272"/>
                          <w:marRight w:val="272"/>
                          <w:marTop w:val="272"/>
                          <w:marBottom w:val="272"/>
                          <w:divBdr>
                            <w:top w:val="none" w:sz="0" w:space="0" w:color="auto"/>
                            <w:left w:val="none" w:sz="0" w:space="0" w:color="auto"/>
                            <w:bottom w:val="none" w:sz="0" w:space="0" w:color="auto"/>
                            <w:right w:val="none" w:sz="0" w:space="0" w:color="auto"/>
                          </w:divBdr>
                          <w:divsChild>
                            <w:div w:id="549734558">
                              <w:marLeft w:val="0"/>
                              <w:marRight w:val="0"/>
                              <w:marTop w:val="0"/>
                              <w:marBottom w:val="0"/>
                              <w:divBdr>
                                <w:top w:val="none" w:sz="0" w:space="0" w:color="auto"/>
                                <w:left w:val="none" w:sz="0" w:space="0" w:color="auto"/>
                                <w:bottom w:val="none" w:sz="0" w:space="0" w:color="auto"/>
                                <w:right w:val="none" w:sz="0" w:space="0" w:color="auto"/>
                              </w:divBdr>
                              <w:divsChild>
                                <w:div w:id="278029823">
                                  <w:marLeft w:val="0"/>
                                  <w:marRight w:val="0"/>
                                  <w:marTop w:val="0"/>
                                  <w:marBottom w:val="0"/>
                                  <w:divBdr>
                                    <w:top w:val="none" w:sz="0" w:space="0" w:color="auto"/>
                                    <w:left w:val="none" w:sz="0" w:space="0" w:color="auto"/>
                                    <w:bottom w:val="none" w:sz="0" w:space="0" w:color="auto"/>
                                    <w:right w:val="none" w:sz="0" w:space="0" w:color="auto"/>
                                  </w:divBdr>
                                  <w:divsChild>
                                    <w:div w:id="134481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mescon\AppData\Roaming\Microsoft\Templates\ppConte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efaultPlaceholder_22675703"/>
        <w:category>
          <w:name w:val="General"/>
          <w:gallery w:val="placeholder"/>
        </w:category>
        <w:types>
          <w:type w:val="bbPlcHdr"/>
        </w:types>
        <w:behaviors>
          <w:behavior w:val="content"/>
        </w:behaviors>
        <w:guid w:val="{9D00ED36-3F62-498F-AEC9-C25E37506D13}"/>
      </w:docPartPr>
      <w:docPartBody>
        <w:p w:rsidR="00AC06C0" w:rsidRDefault="00A6795C">
          <w:r w:rsidRPr="002111B5">
            <w:rPr>
              <w:rStyle w:val="PlaceholderText"/>
            </w:rPr>
            <w:t>Click here to enter text.</w:t>
          </w:r>
        </w:p>
      </w:docPartBody>
    </w:docPart>
    <w:docPart>
      <w:docPartPr>
        <w:name w:val="D43F246B0AB54E3F9642654F8F12FF4D"/>
        <w:category>
          <w:name w:val="General"/>
          <w:gallery w:val="placeholder"/>
        </w:category>
        <w:types>
          <w:type w:val="bbPlcHdr"/>
        </w:types>
        <w:behaviors>
          <w:behavior w:val="content"/>
        </w:behaviors>
        <w:guid w:val="{DCF8E36A-11F1-4C01-B933-3A868E9DFB05}"/>
      </w:docPartPr>
      <w:docPartBody>
        <w:p w:rsidR="002F1602" w:rsidRDefault="00C5289D" w:rsidP="00C5289D">
          <w:pPr>
            <w:pStyle w:val="D43F246B0AB54E3F9642654F8F12FF4D"/>
          </w:pPr>
          <w:r w:rsidRPr="002111B5">
            <w:rPr>
              <w:rStyle w:val="PlaceholderText"/>
            </w:rPr>
            <w:t>Click here to enter text.</w:t>
          </w:r>
        </w:p>
      </w:docPartBody>
    </w:docPart>
    <w:docPart>
      <w:docPartPr>
        <w:name w:val="12E9F8BD70944C4D99AF3BE1A74D64AA"/>
        <w:category>
          <w:name w:val="General"/>
          <w:gallery w:val="placeholder"/>
        </w:category>
        <w:types>
          <w:type w:val="bbPlcHdr"/>
        </w:types>
        <w:behaviors>
          <w:behavior w:val="content"/>
        </w:behaviors>
        <w:guid w:val="{5FB3392A-91A2-4219-9352-F5CFDCB852FA}"/>
      </w:docPartPr>
      <w:docPartBody>
        <w:p w:rsidR="00F247BE" w:rsidRDefault="00EE1E53" w:rsidP="00EE1E53">
          <w:pPr>
            <w:pStyle w:val="12E9F8BD70944C4D99AF3BE1A74D64AA"/>
          </w:pPr>
          <w:r w:rsidRPr="002111B5">
            <w:rPr>
              <w:rStyle w:val="PlaceholderText"/>
            </w:rPr>
            <w:t>Click here to enter text.</w:t>
          </w:r>
        </w:p>
      </w:docPartBody>
    </w:docPart>
    <w:docPart>
      <w:docPartPr>
        <w:name w:val="85436AEF5342450FB5D9411FB892BF67"/>
        <w:category>
          <w:name w:val="General"/>
          <w:gallery w:val="placeholder"/>
        </w:category>
        <w:types>
          <w:type w:val="bbPlcHdr"/>
        </w:types>
        <w:behaviors>
          <w:behavior w:val="content"/>
        </w:behaviors>
        <w:guid w:val="{93070F34-5D54-490C-BC7F-A931264B8034}"/>
      </w:docPartPr>
      <w:docPartBody>
        <w:p w:rsidR="007B4641" w:rsidRDefault="00F247BE" w:rsidP="00F247BE">
          <w:pPr>
            <w:pStyle w:val="85436AEF5342450FB5D9411FB892BF67"/>
          </w:pPr>
          <w:r w:rsidRPr="002111B5">
            <w:rPr>
              <w:rStyle w:val="PlaceholderText"/>
            </w:rPr>
            <w:t>Click here to enter text.</w:t>
          </w:r>
        </w:p>
      </w:docPartBody>
    </w:docPart>
    <w:docPart>
      <w:docPartPr>
        <w:name w:val="CEE2B0A1273349C6AFC777745A573611"/>
        <w:category>
          <w:name w:val="General"/>
          <w:gallery w:val="placeholder"/>
        </w:category>
        <w:types>
          <w:type w:val="bbPlcHdr"/>
        </w:types>
        <w:behaviors>
          <w:behavior w:val="content"/>
        </w:behaviors>
        <w:guid w:val="{230D81F7-1EA9-40F0-9546-3467149C4965}"/>
      </w:docPartPr>
      <w:docPartBody>
        <w:p w:rsidR="00625AEF" w:rsidRDefault="007B4641" w:rsidP="007B4641">
          <w:pPr>
            <w:pStyle w:val="CEE2B0A1273349C6AFC777745A573611"/>
          </w:pPr>
          <w:r w:rsidRPr="002111B5">
            <w:rPr>
              <w:rStyle w:val="PlaceholderText"/>
            </w:rPr>
            <w:t>Click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Franklin Gothic Condensed">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A00002EF" w:usb1="4000204B" w:usb2="00000000" w:usb3="00000000" w:csb0="0000009F" w:csb1="00000000"/>
  </w:font>
  <w:font w:name="Britannic Bold">
    <w:panose1 w:val="020B0903060703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A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6795C"/>
    <w:rsid w:val="00055004"/>
    <w:rsid w:val="000E4D7C"/>
    <w:rsid w:val="00116AD0"/>
    <w:rsid w:val="00143213"/>
    <w:rsid w:val="00162973"/>
    <w:rsid w:val="00193D37"/>
    <w:rsid w:val="00194699"/>
    <w:rsid w:val="001C0737"/>
    <w:rsid w:val="001C6734"/>
    <w:rsid w:val="001F37C9"/>
    <w:rsid w:val="002535A2"/>
    <w:rsid w:val="002E3922"/>
    <w:rsid w:val="002F1602"/>
    <w:rsid w:val="003150FC"/>
    <w:rsid w:val="00343F8B"/>
    <w:rsid w:val="003C2E66"/>
    <w:rsid w:val="003C3A43"/>
    <w:rsid w:val="0048668B"/>
    <w:rsid w:val="004B0DEE"/>
    <w:rsid w:val="004C42EE"/>
    <w:rsid w:val="005223FE"/>
    <w:rsid w:val="00583EFC"/>
    <w:rsid w:val="005B4C72"/>
    <w:rsid w:val="005F4B82"/>
    <w:rsid w:val="00621B73"/>
    <w:rsid w:val="00625AEF"/>
    <w:rsid w:val="006843EA"/>
    <w:rsid w:val="006A314F"/>
    <w:rsid w:val="006C5D3C"/>
    <w:rsid w:val="006D4738"/>
    <w:rsid w:val="00733BE5"/>
    <w:rsid w:val="007508DF"/>
    <w:rsid w:val="007A6F90"/>
    <w:rsid w:val="007B4641"/>
    <w:rsid w:val="007E6B23"/>
    <w:rsid w:val="0080197B"/>
    <w:rsid w:val="008102FF"/>
    <w:rsid w:val="00886404"/>
    <w:rsid w:val="008D67F7"/>
    <w:rsid w:val="008E2A2C"/>
    <w:rsid w:val="00985046"/>
    <w:rsid w:val="00A315B8"/>
    <w:rsid w:val="00A6795C"/>
    <w:rsid w:val="00A81FEC"/>
    <w:rsid w:val="00AA4535"/>
    <w:rsid w:val="00AC06C0"/>
    <w:rsid w:val="00AD037A"/>
    <w:rsid w:val="00AD2839"/>
    <w:rsid w:val="00BA0F05"/>
    <w:rsid w:val="00C11DD5"/>
    <w:rsid w:val="00C16791"/>
    <w:rsid w:val="00C31605"/>
    <w:rsid w:val="00C36C0A"/>
    <w:rsid w:val="00C5289D"/>
    <w:rsid w:val="00C571B4"/>
    <w:rsid w:val="00C760F3"/>
    <w:rsid w:val="00C83439"/>
    <w:rsid w:val="00CA3222"/>
    <w:rsid w:val="00CB6D45"/>
    <w:rsid w:val="00CD70BA"/>
    <w:rsid w:val="00D05342"/>
    <w:rsid w:val="00D5482B"/>
    <w:rsid w:val="00D62B76"/>
    <w:rsid w:val="00DD3E39"/>
    <w:rsid w:val="00E31543"/>
    <w:rsid w:val="00E77B46"/>
    <w:rsid w:val="00E83752"/>
    <w:rsid w:val="00EE1E53"/>
    <w:rsid w:val="00F07297"/>
    <w:rsid w:val="00F17D4B"/>
    <w:rsid w:val="00F247BE"/>
    <w:rsid w:val="00F66C4F"/>
    <w:rsid w:val="00F70FBA"/>
    <w:rsid w:val="00F80E05"/>
    <w:rsid w:val="00FA18CF"/>
    <w:rsid w:val="00FC2970"/>
    <w:rsid w:val="00FE3FE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06C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B4641"/>
    <w:rPr>
      <w:color w:val="808080"/>
    </w:rPr>
  </w:style>
  <w:style w:type="paragraph" w:customStyle="1" w:styleId="232E9707C16C4C08AD6F021F4991D53F">
    <w:name w:val="232E9707C16C4C08AD6F021F4991D53F"/>
    <w:rsid w:val="00A6795C"/>
  </w:style>
  <w:style w:type="paragraph" w:customStyle="1" w:styleId="458D6E718E474EB1BF8C978B70ED9078">
    <w:name w:val="458D6E718E474EB1BF8C978B70ED9078"/>
    <w:rsid w:val="006843EA"/>
  </w:style>
  <w:style w:type="paragraph" w:customStyle="1" w:styleId="2DAD0AC774A740A78F8C59C4854F22E5">
    <w:name w:val="2DAD0AC774A740A78F8C59C4854F22E5"/>
    <w:rsid w:val="00162973"/>
  </w:style>
  <w:style w:type="paragraph" w:customStyle="1" w:styleId="A798022435E64B158BD796275BD44086">
    <w:name w:val="A798022435E64B158BD796275BD44086"/>
    <w:rsid w:val="005B4C72"/>
  </w:style>
  <w:style w:type="paragraph" w:customStyle="1" w:styleId="B3267B64BFFC42BCB7007AABE310FF08">
    <w:name w:val="B3267B64BFFC42BCB7007AABE310FF08"/>
    <w:rsid w:val="00143213"/>
  </w:style>
  <w:style w:type="paragraph" w:customStyle="1" w:styleId="D285053BAB5F4B7184B1FD3D91D41A7D">
    <w:name w:val="D285053BAB5F4B7184B1FD3D91D41A7D"/>
    <w:rsid w:val="001C0737"/>
  </w:style>
  <w:style w:type="paragraph" w:customStyle="1" w:styleId="7AFD8BFB07E04729893BE8291AB54B8A">
    <w:name w:val="7AFD8BFB07E04729893BE8291AB54B8A"/>
    <w:rsid w:val="00C5289D"/>
  </w:style>
  <w:style w:type="paragraph" w:customStyle="1" w:styleId="D43F246B0AB54E3F9642654F8F12FF4D">
    <w:name w:val="D43F246B0AB54E3F9642654F8F12FF4D"/>
    <w:rsid w:val="00C5289D"/>
  </w:style>
  <w:style w:type="paragraph" w:customStyle="1" w:styleId="12E9F8BD70944C4D99AF3BE1A74D64AA">
    <w:name w:val="12E9F8BD70944C4D99AF3BE1A74D64AA"/>
    <w:rsid w:val="00EE1E53"/>
  </w:style>
  <w:style w:type="paragraph" w:customStyle="1" w:styleId="85436AEF5342450FB5D9411FB892BF67">
    <w:name w:val="85436AEF5342450FB5D9411FB892BF67"/>
    <w:rsid w:val="00F247BE"/>
  </w:style>
  <w:style w:type="paragraph" w:customStyle="1" w:styleId="CEE2B0A1273349C6AFC777745A573611">
    <w:name w:val="CEE2B0A1273349C6AFC777745A573611"/>
    <w:rsid w:val="007B4641"/>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1 6 " ? > < t o c   x m l n s : x s i = " h t t p : / / w w w . w 3 . o r g / 2 0 0 1 / X M L S c h e m a - i n s t a n c e "   x m l n s : x s d = " h t t p : / / w w w . w 3 . o r g / 2 0 0 1 / X M L S c h e m a " >  
     < t o p i c   i d = " 6 3 3 0 e 1 f 9 - 4 e d b - 4 1 3 e - 8 0 e 3 - 5 f 2 f b 2 f f c b 6 7 "   t i t l e = " O v e r v i e w "   s t y l e = " T o p i c " / >  
     < t o p i c   i d = " d 3 1 e 3 6 4 b - d 3 3 d - 4 a 1 c - 8 e 3 1 - e 9 f d 4 f 4 1 f 8 6 7 "   t i t l e = " U s i n g   t h e   M M C   S n a p - I n "   s t y l e = " T o p i c " / >  
     < t o p i c   i d = " 7 c a a a e f c - 9 8 d b - 4 b a 3 - b 6 1 3 - 9 5 a 4 3 9 e 7 f 7 6 f "   t i t l e = " U s i n g   t h e   P o w e r S h e l l   c m d l e t s "   s t y l e = " T o p i c " / >  
     < t o p i c   i d = " 7 f f 8 2 d 0 e - d e 5 0 - 4 5 3 d - a c d 9 - 7 4 e f 4 4 1 f 3 8 2 c "   t i t l e = " K n o w n   I s s u e s "   s t y l e = " T o p i c " / >  
     < t o p i c   i d = " f d e 6 b 1 2 f - 1 d 9 b - 4 c a f - a 0 c 2 - e b b b 3 8 d e 2 3 e e "   t i t l e = " E x e r c i s e   2 :   A d d i n g   H o s t e d   W o r k f l o w s "   s t y l e = " T o p i c " / >  
     < t o p i c   i d = " 9 0 d 4 2 1 6 5 - 4 f b 0 - 4 9 a 1 - 8 6 5 3 - 5 3 3 c a a 0 e 7 d 1 5 "   t i t l e = " E x e r c i s e   3 :   A d d i n g   I d e n t i t y   S u p p o r t   U s i n g   a   M a n a g e d   C a r d "   s t y l e = " T o p i c " >  
         < t o p i c   i d = " c 5 c 8 f c 3 5 - 1 7 e 5 - 4 f 1 d - a 8 f 6 - e 8 3 f e 5 b e 0 9 b 4 "   t i t l e = " V e r i f i c a t i o n "   s t y l e = " T o p i c " / >  
     < / t o p i c >  
     < t o p i c   i d = " f 6 3 3 6 b 2 a - 8 7 5 c - 4 b a 1 - 9 7 1 0 - d 7 0 c c d 7 3 b 1 c 5 "   t i t l e = " E x e r c i s e   4 :   C r e a t i n g   t h e   S Q L   S e r v e r   D a t a   S e r v i c e s   ( S S D S )   S t o r a g e "   s t y l e = " T o p i c " >  
         < t o p i c   i d = " 3 a 3 9 0 2 2 3 - 0 d e 7 - 4 9 5 0 - 9 6 b 5 - 9 c e a b 0 a a d 8 3 3 "   t i t l e = " V e r i f i c a t i o n "   s t y l e = " T o p i c " / >  
     < / t o p i c >  
     < t o p i c   i d = " 8 8 c a 9 e a 1 - f d 1 f - 4 4 c e - 8 7 4 1 - 0 c 8 a 1 f c 6 9 5 f 4 "   t i t l e = " E x e r c i s e   5 :   U s i n g   W o r k f l o w s   i n   t h e   I C o m p l i a n c e   W e b   S i t e "   s t y l e = " T o p i c " >  
         < t o p i c   i d = " e 7 4 d 0 3 5 0 - a 6 8 7 - 4 a 9 b - b 5 c b - e 2 7 0 0 e 7 8 a 1 3 7 "   t i t l e = " V e r i f i c a t i o n "   s t y l e = " T o p i c " / >  
     < / t o p i c >  
     < t o p i c   i d = " 9 b 1 e 3 3 7 7 - c b a 4 - 4 5 9 c - 9 9 e e - 9 9 1 0 5 0 7 a c 7 f b "   t i t l e = " S u m m a r y "   s t y l e = " T o p i c " / >  
     < t o p i c   i d = " 6 1 5 1 3 c b 9 - 0 e b b - 4 e 7 a - a 3 e 8 - 5 2 5 5 0 b 4 e e 8 c f "   t i t l e = " A p p e n d i x "   s t y l e = " T o p i c " / >  
 < / t o c > 
</file>

<file path=customXml/itemProps1.xml><?xml version="1.0" encoding="utf-8"?>
<ds:datastoreItem xmlns:ds="http://schemas.openxmlformats.org/officeDocument/2006/customXml" ds:itemID="{423EC635-9CAA-4F9A-8723-12ADCF1959EC}">
  <ds:schemaRefs>
    <ds:schemaRef ds:uri="http://schemas.openxmlformats.org/officeDocument/2006/bibliography"/>
  </ds:schemaRefs>
</ds:datastoreItem>
</file>

<file path=customXml/itemProps2.xml><?xml version="1.0" encoding="utf-8"?>
<ds:datastoreItem xmlns:ds="http://schemas.openxmlformats.org/officeDocument/2006/customXml" ds:itemID="{1F8CDC9B-111A-4BCA-A7A5-532CA8FC9AF2}">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ppContent.dotx</Template>
  <TotalTime>12</TotalTime>
  <Pages>1</Pages>
  <Words>2108</Words>
  <Characters>12020</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Azure Services Management Tools</vt:lpstr>
    </vt:vector>
  </TitlesOfParts>
  <Company>Microsoft Corporation</Company>
  <LinksUpToDate>false</LinksUpToDate>
  <CharactersWithSpaces>14100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Azure Services Management Tools</dc:title>
  <dc:creator>James Conard</dc:creator>
  <dc:description>The Azure Services Management Tools include an MMC SnapIn and Windows PowerShell CmdLets that enable a user to configure and manage several Azure Services including:  SQL Data Services, .NET Access Control Services, and the .NET Workflow Services.
by James Conardjamescon@microsoft.com
http://blogs.msdn.com/jamescon/
</dc:description>
  <cp:lastModifiedBy>James M. Conard</cp:lastModifiedBy>
  <cp:revision>7</cp:revision>
  <dcterms:created xsi:type="dcterms:W3CDTF">2008-10-26T05:15:00Z</dcterms:created>
  <dcterms:modified xsi:type="dcterms:W3CDTF">2008-10-26T20:03:00Z</dcterms:modified>
  <cp:version>1.0</cp:version>
</cp:coreProperties>
</file>